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91FD" w14:textId="77777777" w:rsidR="009972EC" w:rsidRDefault="004F6FE1">
      <w:pPr>
        <w:pStyle w:val="Heading1"/>
        <w:spacing w:after="0"/>
      </w:pPr>
      <w:r>
        <w:t xml:space="preserve">Pupil premium strategy statement - South Axholme </w:t>
      </w:r>
    </w:p>
    <w:p w14:paraId="18DD6B3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76" w:firstLine="0"/>
        <w:jc w:val="center"/>
      </w:pPr>
      <w:r>
        <w:rPr>
          <w:b/>
          <w:color w:val="7030A0"/>
          <w:sz w:val="36"/>
        </w:rPr>
        <w:t xml:space="preserve">Academy </w:t>
      </w:r>
    </w:p>
    <w:p w14:paraId="016690FF" w14:textId="77777777" w:rsidR="009972EC" w:rsidRDefault="004F6FE1">
      <w:pPr>
        <w:pBdr>
          <w:top w:val="none" w:sz="0" w:space="0" w:color="auto"/>
          <w:left w:val="none" w:sz="0" w:space="0" w:color="auto"/>
          <w:bottom w:val="none" w:sz="0" w:space="0" w:color="auto"/>
          <w:right w:val="none" w:sz="0" w:space="0" w:color="auto"/>
        </w:pBdr>
        <w:spacing w:after="241"/>
        <w:ind w:left="-5"/>
      </w:pPr>
      <w:r>
        <w:t xml:space="preserve">This statement details our school’s use of pupil premium funding to help improve the attainment of our disadvantaged pupils. </w:t>
      </w:r>
      <w:r>
        <w:rPr>
          <w:b/>
        </w:rPr>
        <w:t xml:space="preserve"> </w:t>
      </w:r>
    </w:p>
    <w:p w14:paraId="56D537B7" w14:textId="77777777" w:rsidR="009972EC" w:rsidRDefault="004F6FE1">
      <w:pPr>
        <w:pBdr>
          <w:top w:val="none" w:sz="0" w:space="0" w:color="auto"/>
          <w:left w:val="none" w:sz="0" w:space="0" w:color="auto"/>
          <w:bottom w:val="none" w:sz="0" w:space="0" w:color="auto"/>
          <w:right w:val="none" w:sz="0" w:space="0" w:color="auto"/>
        </w:pBdr>
        <w:spacing w:after="556"/>
        <w:ind w:left="-5"/>
      </w:pPr>
      <w:r>
        <w:t>It outlines our pupil premium strategy, how we intend to spend the funding in this academic year and the outcomes for disadvantaged pupils last academic year.</w:t>
      </w:r>
      <w:r>
        <w:rPr>
          <w:b/>
        </w:rPr>
        <w:t xml:space="preserve"> </w:t>
      </w:r>
    </w:p>
    <w:p w14:paraId="4CC74059" w14:textId="77777777" w:rsidR="009972EC" w:rsidRDefault="004F6FE1">
      <w:pPr>
        <w:pStyle w:val="Heading2"/>
        <w:spacing w:after="0"/>
        <w:ind w:left="-5"/>
      </w:pPr>
      <w:r>
        <w:t xml:space="preserve">School overview </w:t>
      </w:r>
    </w:p>
    <w:tbl>
      <w:tblPr>
        <w:tblStyle w:val="TableGrid"/>
        <w:tblW w:w="9486" w:type="dxa"/>
        <w:tblInd w:w="7" w:type="dxa"/>
        <w:tblCellMar>
          <w:top w:w="114" w:type="dxa"/>
          <w:left w:w="108" w:type="dxa"/>
          <w:right w:w="115" w:type="dxa"/>
        </w:tblCellMar>
        <w:tblLook w:val="04A0" w:firstRow="1" w:lastRow="0" w:firstColumn="1" w:lastColumn="0" w:noHBand="0" w:noVBand="1"/>
      </w:tblPr>
      <w:tblGrid>
        <w:gridCol w:w="6517"/>
        <w:gridCol w:w="2969"/>
      </w:tblGrid>
      <w:tr w:rsidR="009972EC" w14:paraId="6CE4C8D6" w14:textId="77777777">
        <w:trPr>
          <w:trHeight w:val="421"/>
        </w:trPr>
        <w:tc>
          <w:tcPr>
            <w:tcW w:w="6517" w:type="dxa"/>
            <w:tcBorders>
              <w:top w:val="single" w:sz="4" w:space="0" w:color="000000"/>
              <w:left w:val="single" w:sz="4" w:space="0" w:color="000000"/>
              <w:bottom w:val="single" w:sz="4" w:space="0" w:color="000000"/>
              <w:right w:val="single" w:sz="4" w:space="0" w:color="000000"/>
            </w:tcBorders>
            <w:shd w:val="clear" w:color="auto" w:fill="CCCCFF"/>
          </w:tcPr>
          <w:p w14:paraId="12FC659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3" w:firstLine="0"/>
              <w:jc w:val="center"/>
            </w:pPr>
            <w:r>
              <w:rPr>
                <w:b/>
              </w:rPr>
              <w:t xml:space="preserve">Detail </w:t>
            </w:r>
          </w:p>
        </w:tc>
        <w:tc>
          <w:tcPr>
            <w:tcW w:w="2969" w:type="dxa"/>
            <w:tcBorders>
              <w:top w:val="single" w:sz="4" w:space="0" w:color="000000"/>
              <w:left w:val="single" w:sz="4" w:space="0" w:color="000000"/>
              <w:bottom w:val="single" w:sz="4" w:space="0" w:color="000000"/>
              <w:right w:val="single" w:sz="4" w:space="0" w:color="000000"/>
            </w:tcBorders>
            <w:shd w:val="clear" w:color="auto" w:fill="CCCCFF"/>
          </w:tcPr>
          <w:p w14:paraId="77D2CBE3"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5" w:firstLine="0"/>
              <w:jc w:val="center"/>
            </w:pPr>
            <w:r>
              <w:rPr>
                <w:b/>
              </w:rPr>
              <w:t xml:space="preserve">Data </w:t>
            </w:r>
          </w:p>
        </w:tc>
      </w:tr>
      <w:tr w:rsidR="009972EC" w14:paraId="5D0823CD" w14:textId="77777777">
        <w:trPr>
          <w:trHeight w:val="424"/>
        </w:trPr>
        <w:tc>
          <w:tcPr>
            <w:tcW w:w="6517" w:type="dxa"/>
            <w:tcBorders>
              <w:top w:val="single" w:sz="4" w:space="0" w:color="000000"/>
              <w:left w:val="single" w:sz="4" w:space="0" w:color="000000"/>
              <w:bottom w:val="single" w:sz="4" w:space="0" w:color="000000"/>
              <w:right w:val="single" w:sz="4" w:space="0" w:color="000000"/>
            </w:tcBorders>
          </w:tcPr>
          <w:p w14:paraId="1FF99FD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Pr>
          <w:p w14:paraId="4676F7AB" w14:textId="5CEB1D44" w:rsidR="009972EC" w:rsidRDefault="00411732">
            <w:pPr>
              <w:pBdr>
                <w:top w:val="none" w:sz="0" w:space="0" w:color="auto"/>
                <w:left w:val="none" w:sz="0" w:space="0" w:color="auto"/>
                <w:bottom w:val="none" w:sz="0" w:space="0" w:color="auto"/>
                <w:right w:val="none" w:sz="0" w:space="0" w:color="auto"/>
              </w:pBdr>
              <w:spacing w:after="0" w:line="259" w:lineRule="auto"/>
              <w:ind w:left="6" w:firstLine="0"/>
              <w:jc w:val="center"/>
            </w:pPr>
            <w:r>
              <w:t>919</w:t>
            </w:r>
          </w:p>
        </w:tc>
      </w:tr>
      <w:tr w:rsidR="009972EC" w14:paraId="4C34B5F9" w14:textId="77777777">
        <w:trPr>
          <w:trHeight w:val="422"/>
        </w:trPr>
        <w:tc>
          <w:tcPr>
            <w:tcW w:w="6517" w:type="dxa"/>
            <w:tcBorders>
              <w:top w:val="single" w:sz="4" w:space="0" w:color="000000"/>
              <w:left w:val="single" w:sz="4" w:space="0" w:color="000000"/>
              <w:bottom w:val="single" w:sz="4" w:space="0" w:color="000000"/>
              <w:right w:val="single" w:sz="4" w:space="0" w:color="000000"/>
            </w:tcBorders>
          </w:tcPr>
          <w:p w14:paraId="1C5250A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Proportion (%) of pupil premium eligible pupils </w:t>
            </w:r>
          </w:p>
        </w:tc>
        <w:tc>
          <w:tcPr>
            <w:tcW w:w="2969" w:type="dxa"/>
            <w:tcBorders>
              <w:top w:val="single" w:sz="4" w:space="0" w:color="000000"/>
              <w:left w:val="single" w:sz="4" w:space="0" w:color="000000"/>
              <w:bottom w:val="single" w:sz="4" w:space="0" w:color="000000"/>
              <w:right w:val="single" w:sz="4" w:space="0" w:color="000000"/>
            </w:tcBorders>
          </w:tcPr>
          <w:p w14:paraId="1CED0710" w14:textId="53470511" w:rsidR="009972EC" w:rsidRDefault="004F6FE1">
            <w:pPr>
              <w:pBdr>
                <w:top w:val="none" w:sz="0" w:space="0" w:color="auto"/>
                <w:left w:val="none" w:sz="0" w:space="0" w:color="auto"/>
                <w:bottom w:val="none" w:sz="0" w:space="0" w:color="auto"/>
                <w:right w:val="none" w:sz="0" w:space="0" w:color="auto"/>
              </w:pBdr>
              <w:spacing w:after="0" w:line="259" w:lineRule="auto"/>
              <w:ind w:left="4" w:firstLine="0"/>
              <w:jc w:val="center"/>
            </w:pPr>
            <w:r>
              <w:t xml:space="preserve">20% </w:t>
            </w:r>
          </w:p>
        </w:tc>
      </w:tr>
      <w:tr w:rsidR="009972EC" w14:paraId="5EE630E6" w14:textId="77777777">
        <w:trPr>
          <w:trHeight w:val="715"/>
        </w:trPr>
        <w:tc>
          <w:tcPr>
            <w:tcW w:w="6517" w:type="dxa"/>
            <w:tcBorders>
              <w:top w:val="single" w:sz="4" w:space="0" w:color="000000"/>
              <w:left w:val="single" w:sz="4" w:space="0" w:color="000000"/>
              <w:bottom w:val="single" w:sz="4" w:space="0" w:color="000000"/>
              <w:right w:val="single" w:sz="4" w:space="0" w:color="000000"/>
            </w:tcBorders>
          </w:tcPr>
          <w:p w14:paraId="1D35DE0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Academic year/years that our current pupil premium strategy plan covers </w:t>
            </w:r>
            <w:r>
              <w:rPr>
                <w:b/>
              </w:rPr>
              <w:t xml:space="preserve"> </w:t>
            </w:r>
          </w:p>
        </w:tc>
        <w:tc>
          <w:tcPr>
            <w:tcW w:w="2969" w:type="dxa"/>
            <w:tcBorders>
              <w:top w:val="single" w:sz="4" w:space="0" w:color="000000"/>
              <w:left w:val="single" w:sz="4" w:space="0" w:color="000000"/>
              <w:bottom w:val="single" w:sz="4" w:space="0" w:color="000000"/>
              <w:right w:val="single" w:sz="4" w:space="0" w:color="000000"/>
            </w:tcBorders>
            <w:vAlign w:val="center"/>
          </w:tcPr>
          <w:p w14:paraId="3693CB2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6" w:firstLine="0"/>
              <w:jc w:val="center"/>
            </w:pPr>
            <w:r>
              <w:t xml:space="preserve">2024-2027 </w:t>
            </w:r>
          </w:p>
        </w:tc>
      </w:tr>
      <w:tr w:rsidR="009972EC" w14:paraId="2C0657ED" w14:textId="77777777">
        <w:trPr>
          <w:trHeight w:val="425"/>
        </w:trPr>
        <w:tc>
          <w:tcPr>
            <w:tcW w:w="6517" w:type="dxa"/>
            <w:tcBorders>
              <w:top w:val="single" w:sz="4" w:space="0" w:color="000000"/>
              <w:left w:val="single" w:sz="4" w:space="0" w:color="000000"/>
              <w:bottom w:val="single" w:sz="4" w:space="0" w:color="000000"/>
              <w:right w:val="single" w:sz="4" w:space="0" w:color="000000"/>
            </w:tcBorders>
          </w:tcPr>
          <w:p w14:paraId="3FEEC03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Date this statement was published </w:t>
            </w:r>
          </w:p>
        </w:tc>
        <w:tc>
          <w:tcPr>
            <w:tcW w:w="2969" w:type="dxa"/>
            <w:tcBorders>
              <w:top w:val="single" w:sz="4" w:space="0" w:color="000000"/>
              <w:left w:val="single" w:sz="4" w:space="0" w:color="000000"/>
              <w:bottom w:val="single" w:sz="4" w:space="0" w:color="000000"/>
              <w:right w:val="single" w:sz="4" w:space="0" w:color="000000"/>
            </w:tcBorders>
          </w:tcPr>
          <w:p w14:paraId="4550136F" w14:textId="0EF3D5A7" w:rsidR="009972EC" w:rsidRDefault="002336D5">
            <w:pPr>
              <w:pBdr>
                <w:top w:val="none" w:sz="0" w:space="0" w:color="auto"/>
                <w:left w:val="none" w:sz="0" w:space="0" w:color="auto"/>
                <w:bottom w:val="none" w:sz="0" w:space="0" w:color="auto"/>
                <w:right w:val="none" w:sz="0" w:space="0" w:color="auto"/>
              </w:pBdr>
              <w:spacing w:after="0" w:line="259" w:lineRule="auto"/>
              <w:ind w:left="10" w:firstLine="0"/>
              <w:jc w:val="center"/>
            </w:pPr>
            <w:r>
              <w:t>November 2025</w:t>
            </w:r>
            <w:r w:rsidR="004F6FE1">
              <w:t xml:space="preserve"> </w:t>
            </w:r>
          </w:p>
        </w:tc>
      </w:tr>
      <w:tr w:rsidR="009972EC" w14:paraId="74ACFD01" w14:textId="77777777">
        <w:trPr>
          <w:trHeight w:val="422"/>
        </w:trPr>
        <w:tc>
          <w:tcPr>
            <w:tcW w:w="6517" w:type="dxa"/>
            <w:tcBorders>
              <w:top w:val="single" w:sz="4" w:space="0" w:color="000000"/>
              <w:left w:val="single" w:sz="4" w:space="0" w:color="000000"/>
              <w:bottom w:val="single" w:sz="4" w:space="0" w:color="000000"/>
              <w:right w:val="single" w:sz="4" w:space="0" w:color="000000"/>
            </w:tcBorders>
          </w:tcPr>
          <w:p w14:paraId="0A67E75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Date on which it will be reviewed </w:t>
            </w:r>
          </w:p>
        </w:tc>
        <w:tc>
          <w:tcPr>
            <w:tcW w:w="2969" w:type="dxa"/>
            <w:tcBorders>
              <w:top w:val="single" w:sz="4" w:space="0" w:color="000000"/>
              <w:left w:val="single" w:sz="4" w:space="0" w:color="000000"/>
              <w:bottom w:val="single" w:sz="4" w:space="0" w:color="000000"/>
              <w:right w:val="single" w:sz="4" w:space="0" w:color="000000"/>
            </w:tcBorders>
          </w:tcPr>
          <w:p w14:paraId="4F225F40" w14:textId="4157C69C" w:rsidR="009972EC" w:rsidRDefault="004F6FE1">
            <w:pPr>
              <w:pBdr>
                <w:top w:val="none" w:sz="0" w:space="0" w:color="auto"/>
                <w:left w:val="none" w:sz="0" w:space="0" w:color="auto"/>
                <w:bottom w:val="none" w:sz="0" w:space="0" w:color="auto"/>
                <w:right w:val="none" w:sz="0" w:space="0" w:color="auto"/>
              </w:pBdr>
              <w:spacing w:after="0" w:line="259" w:lineRule="auto"/>
              <w:ind w:left="6" w:firstLine="0"/>
              <w:jc w:val="center"/>
            </w:pPr>
            <w:r>
              <w:t>September 202</w:t>
            </w:r>
            <w:r w:rsidR="002336D5">
              <w:t>6</w:t>
            </w:r>
          </w:p>
        </w:tc>
      </w:tr>
      <w:tr w:rsidR="009972EC" w14:paraId="07B1200E" w14:textId="77777777">
        <w:trPr>
          <w:trHeight w:val="423"/>
        </w:trPr>
        <w:tc>
          <w:tcPr>
            <w:tcW w:w="6517" w:type="dxa"/>
            <w:tcBorders>
              <w:top w:val="single" w:sz="4" w:space="0" w:color="000000"/>
              <w:left w:val="single" w:sz="4" w:space="0" w:color="000000"/>
              <w:bottom w:val="single" w:sz="4" w:space="0" w:color="000000"/>
              <w:right w:val="single" w:sz="4" w:space="0" w:color="000000"/>
            </w:tcBorders>
          </w:tcPr>
          <w:p w14:paraId="2B72F8A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Statement authorised by </w:t>
            </w:r>
          </w:p>
        </w:tc>
        <w:tc>
          <w:tcPr>
            <w:tcW w:w="2969" w:type="dxa"/>
            <w:tcBorders>
              <w:top w:val="single" w:sz="4" w:space="0" w:color="000000"/>
              <w:left w:val="single" w:sz="4" w:space="0" w:color="000000"/>
              <w:bottom w:val="single" w:sz="4" w:space="0" w:color="000000"/>
              <w:right w:val="single" w:sz="4" w:space="0" w:color="000000"/>
            </w:tcBorders>
          </w:tcPr>
          <w:p w14:paraId="74B966FE" w14:textId="038C3277" w:rsidR="009972EC" w:rsidRDefault="002336D5">
            <w:pPr>
              <w:pBdr>
                <w:top w:val="none" w:sz="0" w:space="0" w:color="auto"/>
                <w:left w:val="none" w:sz="0" w:space="0" w:color="auto"/>
                <w:bottom w:val="none" w:sz="0" w:space="0" w:color="auto"/>
                <w:right w:val="none" w:sz="0" w:space="0" w:color="auto"/>
              </w:pBdr>
              <w:spacing w:after="0" w:line="259" w:lineRule="auto"/>
              <w:ind w:left="9" w:firstLine="0"/>
              <w:jc w:val="center"/>
            </w:pPr>
            <w:r>
              <w:t>Mrs S Hamilton</w:t>
            </w:r>
            <w:r w:rsidR="004F6FE1">
              <w:t xml:space="preserve"> </w:t>
            </w:r>
          </w:p>
        </w:tc>
      </w:tr>
      <w:tr w:rsidR="009972EC" w14:paraId="7842B83D" w14:textId="77777777">
        <w:trPr>
          <w:trHeight w:val="775"/>
        </w:trPr>
        <w:tc>
          <w:tcPr>
            <w:tcW w:w="6517" w:type="dxa"/>
            <w:tcBorders>
              <w:top w:val="single" w:sz="4" w:space="0" w:color="000000"/>
              <w:left w:val="single" w:sz="4" w:space="0" w:color="000000"/>
              <w:bottom w:val="single" w:sz="4" w:space="0" w:color="000000"/>
              <w:right w:val="single" w:sz="4" w:space="0" w:color="000000"/>
            </w:tcBorders>
          </w:tcPr>
          <w:p w14:paraId="31275D4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Pupil premium lead </w:t>
            </w:r>
          </w:p>
        </w:tc>
        <w:tc>
          <w:tcPr>
            <w:tcW w:w="2969" w:type="dxa"/>
            <w:tcBorders>
              <w:top w:val="single" w:sz="4" w:space="0" w:color="000000"/>
              <w:left w:val="single" w:sz="4" w:space="0" w:color="000000"/>
              <w:bottom w:val="single" w:sz="4" w:space="0" w:color="000000"/>
              <w:right w:val="single" w:sz="4" w:space="0" w:color="000000"/>
            </w:tcBorders>
          </w:tcPr>
          <w:p w14:paraId="4E323C5E" w14:textId="0E365594" w:rsidR="009972EC" w:rsidRDefault="002336D5">
            <w:pPr>
              <w:pBdr>
                <w:top w:val="none" w:sz="0" w:space="0" w:color="auto"/>
                <w:left w:val="none" w:sz="0" w:space="0" w:color="auto"/>
                <w:bottom w:val="none" w:sz="0" w:space="0" w:color="auto"/>
                <w:right w:val="none" w:sz="0" w:space="0" w:color="auto"/>
              </w:pBdr>
              <w:spacing w:after="0" w:line="259" w:lineRule="auto"/>
              <w:ind w:left="145" w:right="90" w:firstLine="0"/>
              <w:jc w:val="center"/>
            </w:pPr>
            <w:r>
              <w:t>Mr C Chancellor (Assistant Principal)</w:t>
            </w:r>
            <w:r w:rsidR="004F6FE1">
              <w:t xml:space="preserve"> </w:t>
            </w:r>
          </w:p>
        </w:tc>
      </w:tr>
      <w:tr w:rsidR="009972EC" w14:paraId="132882CD" w14:textId="77777777">
        <w:trPr>
          <w:trHeight w:val="778"/>
        </w:trPr>
        <w:tc>
          <w:tcPr>
            <w:tcW w:w="6517" w:type="dxa"/>
            <w:tcBorders>
              <w:top w:val="single" w:sz="4" w:space="0" w:color="000000"/>
              <w:left w:val="single" w:sz="4" w:space="0" w:color="000000"/>
              <w:bottom w:val="single" w:sz="4" w:space="0" w:color="000000"/>
              <w:right w:val="single" w:sz="4" w:space="0" w:color="000000"/>
            </w:tcBorders>
          </w:tcPr>
          <w:p w14:paraId="32A2F10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Governor / Trustee lead </w:t>
            </w:r>
          </w:p>
        </w:tc>
        <w:tc>
          <w:tcPr>
            <w:tcW w:w="2969" w:type="dxa"/>
            <w:tcBorders>
              <w:top w:val="single" w:sz="4" w:space="0" w:color="000000"/>
              <w:left w:val="single" w:sz="4" w:space="0" w:color="000000"/>
              <w:bottom w:val="single" w:sz="4" w:space="0" w:color="000000"/>
              <w:right w:val="single" w:sz="4" w:space="0" w:color="000000"/>
            </w:tcBorders>
          </w:tcPr>
          <w:p w14:paraId="300640FD" w14:textId="77777777" w:rsidR="009972EC" w:rsidRDefault="004F6FE1">
            <w:pPr>
              <w:pBdr>
                <w:top w:val="none" w:sz="0" w:space="0" w:color="auto"/>
                <w:left w:val="none" w:sz="0" w:space="0" w:color="auto"/>
                <w:bottom w:val="none" w:sz="0" w:space="0" w:color="auto"/>
                <w:right w:val="none" w:sz="0" w:space="0" w:color="auto"/>
              </w:pBdr>
              <w:spacing w:after="36" w:line="259" w:lineRule="auto"/>
              <w:ind w:left="6" w:firstLine="0"/>
              <w:jc w:val="center"/>
            </w:pPr>
            <w:r>
              <w:t xml:space="preserve">Mrs Diane Barratt </w:t>
            </w:r>
          </w:p>
          <w:p w14:paraId="7AF7E56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5" w:firstLine="0"/>
              <w:jc w:val="center"/>
            </w:pPr>
            <w:r>
              <w:t xml:space="preserve">Mrs Ellie Pearce </w:t>
            </w:r>
          </w:p>
        </w:tc>
      </w:tr>
    </w:tbl>
    <w:p w14:paraId="142EB8FC" w14:textId="77777777" w:rsidR="009972EC" w:rsidRDefault="004F6FE1">
      <w:pPr>
        <w:pStyle w:val="Heading2"/>
        <w:spacing w:after="0"/>
        <w:ind w:left="-5"/>
      </w:pPr>
      <w:r>
        <w:t xml:space="preserve">Funding overview </w:t>
      </w:r>
    </w:p>
    <w:tbl>
      <w:tblPr>
        <w:tblStyle w:val="TableGrid"/>
        <w:tblW w:w="9486" w:type="dxa"/>
        <w:tblInd w:w="7" w:type="dxa"/>
        <w:tblCellMar>
          <w:top w:w="114" w:type="dxa"/>
          <w:left w:w="108" w:type="dxa"/>
          <w:right w:w="115" w:type="dxa"/>
        </w:tblCellMar>
        <w:tblLook w:val="04A0" w:firstRow="1" w:lastRow="0" w:firstColumn="1" w:lastColumn="0" w:noHBand="0" w:noVBand="1"/>
      </w:tblPr>
      <w:tblGrid>
        <w:gridCol w:w="6517"/>
        <w:gridCol w:w="2969"/>
      </w:tblGrid>
      <w:tr w:rsidR="009972EC" w14:paraId="1DBCE4DA" w14:textId="77777777">
        <w:trPr>
          <w:trHeight w:val="421"/>
        </w:trPr>
        <w:tc>
          <w:tcPr>
            <w:tcW w:w="6517" w:type="dxa"/>
            <w:tcBorders>
              <w:top w:val="single" w:sz="4" w:space="0" w:color="000000"/>
              <w:left w:val="single" w:sz="4" w:space="0" w:color="000000"/>
              <w:bottom w:val="single" w:sz="4" w:space="0" w:color="000000"/>
              <w:right w:val="single" w:sz="4" w:space="0" w:color="000000"/>
            </w:tcBorders>
            <w:shd w:val="clear" w:color="auto" w:fill="CCCCFF"/>
          </w:tcPr>
          <w:p w14:paraId="5F7B4C1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3" w:firstLine="0"/>
              <w:jc w:val="center"/>
            </w:pPr>
            <w:r>
              <w:rPr>
                <w:b/>
              </w:rPr>
              <w:t xml:space="preserve">Detail </w:t>
            </w:r>
          </w:p>
        </w:tc>
        <w:tc>
          <w:tcPr>
            <w:tcW w:w="2969" w:type="dxa"/>
            <w:tcBorders>
              <w:top w:val="single" w:sz="4" w:space="0" w:color="000000"/>
              <w:left w:val="single" w:sz="4" w:space="0" w:color="000000"/>
              <w:bottom w:val="single" w:sz="4" w:space="0" w:color="000000"/>
              <w:right w:val="single" w:sz="4" w:space="0" w:color="000000"/>
            </w:tcBorders>
            <w:shd w:val="clear" w:color="auto" w:fill="CCCCFF"/>
          </w:tcPr>
          <w:p w14:paraId="18234FE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5" w:firstLine="0"/>
              <w:jc w:val="center"/>
            </w:pPr>
            <w:r>
              <w:rPr>
                <w:b/>
              </w:rPr>
              <w:t xml:space="preserve">Amount </w:t>
            </w:r>
          </w:p>
        </w:tc>
      </w:tr>
      <w:tr w:rsidR="009972EC" w14:paraId="050C5436" w14:textId="77777777">
        <w:trPr>
          <w:trHeight w:val="424"/>
        </w:trPr>
        <w:tc>
          <w:tcPr>
            <w:tcW w:w="6517" w:type="dxa"/>
            <w:tcBorders>
              <w:top w:val="single" w:sz="4" w:space="0" w:color="000000"/>
              <w:left w:val="single" w:sz="4" w:space="0" w:color="000000"/>
              <w:bottom w:val="single" w:sz="4" w:space="0" w:color="000000"/>
              <w:right w:val="single" w:sz="4" w:space="0" w:color="000000"/>
            </w:tcBorders>
          </w:tcPr>
          <w:p w14:paraId="72A43EC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Pupil premium funding allocation this academic year </w:t>
            </w:r>
          </w:p>
        </w:tc>
        <w:tc>
          <w:tcPr>
            <w:tcW w:w="2969" w:type="dxa"/>
            <w:tcBorders>
              <w:top w:val="single" w:sz="4" w:space="0" w:color="000000"/>
              <w:left w:val="single" w:sz="4" w:space="0" w:color="000000"/>
              <w:bottom w:val="single" w:sz="4" w:space="0" w:color="000000"/>
              <w:right w:val="single" w:sz="4" w:space="0" w:color="000000"/>
            </w:tcBorders>
          </w:tcPr>
          <w:p w14:paraId="220A6D35" w14:textId="3D5C3774"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 </w:t>
            </w:r>
            <w:r w:rsidR="00576139">
              <w:t>212,800</w:t>
            </w:r>
          </w:p>
        </w:tc>
      </w:tr>
      <w:tr w:rsidR="009972EC" w14:paraId="02338516" w14:textId="77777777">
        <w:trPr>
          <w:trHeight w:val="775"/>
        </w:trPr>
        <w:tc>
          <w:tcPr>
            <w:tcW w:w="6517" w:type="dxa"/>
            <w:tcBorders>
              <w:top w:val="single" w:sz="4" w:space="0" w:color="000000"/>
              <w:left w:val="single" w:sz="4" w:space="0" w:color="000000"/>
              <w:bottom w:val="single" w:sz="4" w:space="0" w:color="000000"/>
              <w:right w:val="single" w:sz="4" w:space="0" w:color="000000"/>
            </w:tcBorders>
            <w:vAlign w:val="center"/>
          </w:tcPr>
          <w:p w14:paraId="450759C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Pupil premium funding carried forward from previous years </w:t>
            </w:r>
            <w:r>
              <w:rPr>
                <w:i/>
              </w:rPr>
              <w:t xml:space="preserve">(enter £0 if not applicable) </w:t>
            </w:r>
          </w:p>
        </w:tc>
        <w:tc>
          <w:tcPr>
            <w:tcW w:w="2969" w:type="dxa"/>
            <w:tcBorders>
              <w:top w:val="single" w:sz="4" w:space="0" w:color="000000"/>
              <w:left w:val="single" w:sz="4" w:space="0" w:color="000000"/>
              <w:bottom w:val="single" w:sz="4" w:space="0" w:color="000000"/>
              <w:right w:val="single" w:sz="4" w:space="0" w:color="000000"/>
            </w:tcBorders>
          </w:tcPr>
          <w:p w14:paraId="460D2AE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t xml:space="preserve">£ 0 </w:t>
            </w:r>
          </w:p>
        </w:tc>
      </w:tr>
      <w:tr w:rsidR="009972EC" w14:paraId="554F0FF9" w14:textId="77777777">
        <w:trPr>
          <w:trHeight w:val="1130"/>
        </w:trPr>
        <w:tc>
          <w:tcPr>
            <w:tcW w:w="6517" w:type="dxa"/>
            <w:tcBorders>
              <w:top w:val="single" w:sz="4" w:space="0" w:color="000000"/>
              <w:left w:val="single" w:sz="4" w:space="0" w:color="000000"/>
              <w:bottom w:val="single" w:sz="4" w:space="0" w:color="000000"/>
              <w:right w:val="single" w:sz="4" w:space="0" w:color="000000"/>
            </w:tcBorders>
          </w:tcPr>
          <w:p w14:paraId="0D855411" w14:textId="77777777" w:rsidR="009972EC" w:rsidRDefault="004F6FE1">
            <w:pPr>
              <w:pBdr>
                <w:top w:val="none" w:sz="0" w:space="0" w:color="auto"/>
                <w:left w:val="none" w:sz="0" w:space="0" w:color="auto"/>
                <w:bottom w:val="none" w:sz="0" w:space="0" w:color="auto"/>
                <w:right w:val="none" w:sz="0" w:space="0" w:color="auto"/>
              </w:pBdr>
              <w:spacing w:after="96" w:line="259" w:lineRule="auto"/>
              <w:ind w:left="0" w:firstLine="0"/>
            </w:pPr>
            <w:r>
              <w:rPr>
                <w:b/>
              </w:rPr>
              <w:t xml:space="preserve">Total budget for this academic year </w:t>
            </w:r>
          </w:p>
          <w:p w14:paraId="4EF6D70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i/>
              </w:rPr>
              <w:t xml:space="preserve">If your school is an academy in a trust that pools this funding, state the amount available to your school this academic year </w:t>
            </w:r>
          </w:p>
        </w:tc>
        <w:tc>
          <w:tcPr>
            <w:tcW w:w="2969" w:type="dxa"/>
            <w:tcBorders>
              <w:top w:val="single" w:sz="4" w:space="0" w:color="000000"/>
              <w:left w:val="single" w:sz="4" w:space="0" w:color="000000"/>
              <w:bottom w:val="single" w:sz="4" w:space="0" w:color="000000"/>
              <w:right w:val="single" w:sz="4" w:space="0" w:color="000000"/>
            </w:tcBorders>
          </w:tcPr>
          <w:p w14:paraId="6EA544D8" w14:textId="7F910F16" w:rsidR="009972EC" w:rsidRDefault="00576139">
            <w:pPr>
              <w:pBdr>
                <w:top w:val="none" w:sz="0" w:space="0" w:color="auto"/>
                <w:left w:val="none" w:sz="0" w:space="0" w:color="auto"/>
                <w:bottom w:val="none" w:sz="0" w:space="0" w:color="auto"/>
                <w:right w:val="none" w:sz="0" w:space="0" w:color="auto"/>
              </w:pBdr>
              <w:spacing w:after="0" w:line="259" w:lineRule="auto"/>
              <w:ind w:left="0" w:firstLine="0"/>
            </w:pPr>
            <w:r>
              <w:t>£ 212,800</w:t>
            </w:r>
          </w:p>
        </w:tc>
      </w:tr>
    </w:tbl>
    <w:p w14:paraId="5524A6E3" w14:textId="77777777" w:rsidR="009972EC" w:rsidRDefault="004F6FE1">
      <w:pPr>
        <w:pStyle w:val="Heading1"/>
        <w:ind w:left="-5"/>
      </w:pPr>
      <w:r>
        <w:lastRenderedPageBreak/>
        <w:t xml:space="preserve">Part A: Pupil premium strategy plan </w:t>
      </w:r>
    </w:p>
    <w:p w14:paraId="7A232DB9" w14:textId="77777777" w:rsidR="009972EC" w:rsidRDefault="004F6FE1">
      <w:pPr>
        <w:pStyle w:val="Heading2"/>
        <w:ind w:left="-5"/>
      </w:pPr>
      <w:r>
        <w:t xml:space="preserve">Statement of intent </w:t>
      </w:r>
    </w:p>
    <w:p w14:paraId="329E1B8D" w14:textId="77777777" w:rsidR="009972EC" w:rsidRDefault="004F6FE1">
      <w:pPr>
        <w:ind w:left="110"/>
      </w:pPr>
      <w:r>
        <w:t xml:space="preserve">The South Axholme Mindset is at the heart of everything we do at South Axholme Academy. </w:t>
      </w:r>
    </w:p>
    <w:p w14:paraId="7693C81C" w14:textId="77777777" w:rsidR="009972EC" w:rsidRDefault="004F6FE1">
      <w:pPr>
        <w:ind w:left="110"/>
      </w:pPr>
      <w:r>
        <w:t xml:space="preserve">We ensure every student Expects Excellence, is Respectful, Resilient and Ready to make a difference in the world. The South Axholme Mindset Curriculum has been designed to provide students with the core knowledge and cultural capital needed for further academic study, while enabling them to develop as citizens and engage effectively in the world beyond school. Our intention is to ensure students make outstanding progress and that the curriculum is ambitious in ensuring that all students follow the full breadth and depth of the National Curriculum and ensure that students can undertake studies in the EBacc and a full range of Option subjects.  </w:t>
      </w:r>
    </w:p>
    <w:p w14:paraId="1E70DCD9" w14:textId="77777777" w:rsidR="009972EC" w:rsidRDefault="004F6FE1">
      <w:pPr>
        <w:spacing w:after="926"/>
        <w:ind w:left="110"/>
      </w:pPr>
      <w:r>
        <w:t>The focus of our pupil premium strategy is to support disadvantaged students to achieve that goal.</w:t>
      </w:r>
      <w:r>
        <w:rPr>
          <w:i/>
        </w:rPr>
        <w:t xml:space="preserve"> </w:t>
      </w:r>
    </w:p>
    <w:p w14:paraId="6AD54247" w14:textId="77777777" w:rsidR="009972EC" w:rsidRDefault="004F6FE1">
      <w:pPr>
        <w:pStyle w:val="Heading2"/>
        <w:ind w:left="-5"/>
      </w:pPr>
      <w:r>
        <w:t xml:space="preserve">Challenges </w:t>
      </w:r>
    </w:p>
    <w:p w14:paraId="125C88A5" w14:textId="77777777" w:rsidR="009972EC" w:rsidRDefault="004F6FE1">
      <w:pPr>
        <w:pBdr>
          <w:top w:val="none" w:sz="0" w:space="0" w:color="auto"/>
          <w:left w:val="none" w:sz="0" w:space="0" w:color="auto"/>
          <w:bottom w:val="none" w:sz="0" w:space="0" w:color="auto"/>
          <w:right w:val="none" w:sz="0" w:space="0" w:color="auto"/>
        </w:pBdr>
        <w:spacing w:after="0"/>
        <w:ind w:left="-5"/>
      </w:pPr>
      <w:r>
        <w:t xml:space="preserve">This details the key challenges to achievement that we have identified among our disadvantaged pupils. </w:t>
      </w:r>
    </w:p>
    <w:tbl>
      <w:tblPr>
        <w:tblStyle w:val="TableGrid"/>
        <w:tblW w:w="9486" w:type="dxa"/>
        <w:tblInd w:w="7" w:type="dxa"/>
        <w:tblCellMar>
          <w:top w:w="107" w:type="dxa"/>
          <w:left w:w="108" w:type="dxa"/>
          <w:right w:w="68" w:type="dxa"/>
        </w:tblCellMar>
        <w:tblLook w:val="04A0" w:firstRow="1" w:lastRow="0" w:firstColumn="1" w:lastColumn="0" w:noHBand="0" w:noVBand="1"/>
      </w:tblPr>
      <w:tblGrid>
        <w:gridCol w:w="1476"/>
        <w:gridCol w:w="8010"/>
      </w:tblGrid>
      <w:tr w:rsidR="009972EC" w14:paraId="6B301393" w14:textId="77777777">
        <w:trPr>
          <w:trHeight w:val="713"/>
        </w:trPr>
        <w:tc>
          <w:tcPr>
            <w:tcW w:w="1476" w:type="dxa"/>
            <w:tcBorders>
              <w:top w:val="single" w:sz="4" w:space="0" w:color="000000"/>
              <w:left w:val="single" w:sz="4" w:space="0" w:color="000000"/>
              <w:bottom w:val="single" w:sz="4" w:space="0" w:color="000000"/>
              <w:right w:val="single" w:sz="4" w:space="0" w:color="000000"/>
            </w:tcBorders>
            <w:shd w:val="clear" w:color="auto" w:fill="CCCCFF"/>
          </w:tcPr>
          <w:p w14:paraId="02F2D65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b/>
              </w:rPr>
              <w:t xml:space="preserve">Challenge Number </w:t>
            </w:r>
          </w:p>
        </w:tc>
        <w:tc>
          <w:tcPr>
            <w:tcW w:w="8010"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3914B9F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3" w:firstLine="0"/>
              <w:jc w:val="center"/>
            </w:pPr>
            <w:r>
              <w:rPr>
                <w:b/>
              </w:rPr>
              <w:t xml:space="preserve">Detail of Challenge </w:t>
            </w:r>
          </w:p>
        </w:tc>
      </w:tr>
      <w:tr w:rsidR="009972EC" w14:paraId="0F4B69D7" w14:textId="77777777">
        <w:trPr>
          <w:trHeight w:val="2073"/>
        </w:trPr>
        <w:tc>
          <w:tcPr>
            <w:tcW w:w="1476" w:type="dxa"/>
            <w:tcBorders>
              <w:top w:val="single" w:sz="4" w:space="0" w:color="000000"/>
              <w:left w:val="single" w:sz="4" w:space="0" w:color="000000"/>
              <w:bottom w:val="single" w:sz="4" w:space="0" w:color="000000"/>
              <w:right w:val="single" w:sz="4" w:space="0" w:color="000000"/>
            </w:tcBorders>
            <w:vAlign w:val="center"/>
          </w:tcPr>
          <w:p w14:paraId="2E6BD82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9" w:firstLine="0"/>
              <w:jc w:val="center"/>
            </w:pPr>
            <w:r>
              <w:rPr>
                <w:sz w:val="22"/>
              </w:rPr>
              <w:t xml:space="preserve">1 </w:t>
            </w:r>
          </w:p>
        </w:tc>
        <w:tc>
          <w:tcPr>
            <w:tcW w:w="8010" w:type="dxa"/>
            <w:tcBorders>
              <w:top w:val="single" w:sz="4" w:space="0" w:color="000000"/>
              <w:left w:val="single" w:sz="4" w:space="0" w:color="000000"/>
              <w:bottom w:val="single" w:sz="4" w:space="0" w:color="000000"/>
              <w:right w:val="single" w:sz="4" w:space="0" w:color="000000"/>
            </w:tcBorders>
          </w:tcPr>
          <w:p w14:paraId="7A4F28DA"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firstLine="0"/>
            </w:pPr>
            <w:r>
              <w:rPr>
                <w:b/>
                <w:sz w:val="22"/>
              </w:rPr>
              <w:t xml:space="preserve">Cultural &amp; Personal Development Experiences </w:t>
            </w:r>
          </w:p>
          <w:p w14:paraId="49DF1C3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Many of our students who are eligible for the disadvantaged student funding do not have a wealth of cultural &amp; personal development experiences.  The current cost of living crisis has accentuated this.  Fewer disadvantaged students access extracurricular activities compared to non-disadvantaged students.  Our semi-rural location and lack of public transport makes it difficult for many disadvantaged students to take advantage of cultural &amp; personal development experiences beyond the school day.   </w:t>
            </w:r>
          </w:p>
        </w:tc>
      </w:tr>
      <w:tr w:rsidR="009972EC" w14:paraId="29E45F15" w14:textId="77777777">
        <w:trPr>
          <w:trHeight w:val="1531"/>
        </w:trPr>
        <w:tc>
          <w:tcPr>
            <w:tcW w:w="1476" w:type="dxa"/>
            <w:tcBorders>
              <w:top w:val="single" w:sz="4" w:space="0" w:color="000000"/>
              <w:left w:val="single" w:sz="4" w:space="0" w:color="000000"/>
              <w:bottom w:val="single" w:sz="4" w:space="0" w:color="000000"/>
              <w:right w:val="single" w:sz="4" w:space="0" w:color="000000"/>
            </w:tcBorders>
            <w:vAlign w:val="center"/>
          </w:tcPr>
          <w:p w14:paraId="5B28257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9" w:firstLine="0"/>
              <w:jc w:val="center"/>
            </w:pPr>
            <w:r>
              <w:rPr>
                <w:sz w:val="22"/>
              </w:rPr>
              <w:t xml:space="preserve">2 </w:t>
            </w:r>
          </w:p>
        </w:tc>
        <w:tc>
          <w:tcPr>
            <w:tcW w:w="8010" w:type="dxa"/>
            <w:tcBorders>
              <w:top w:val="single" w:sz="4" w:space="0" w:color="000000"/>
              <w:left w:val="single" w:sz="4" w:space="0" w:color="000000"/>
              <w:bottom w:val="single" w:sz="4" w:space="0" w:color="000000"/>
              <w:right w:val="single" w:sz="4" w:space="0" w:color="000000"/>
            </w:tcBorders>
          </w:tcPr>
          <w:p w14:paraId="2E32F1B8" w14:textId="0BA4485D" w:rsidR="009972EC" w:rsidRDefault="00FC4312">
            <w:pPr>
              <w:pBdr>
                <w:top w:val="none" w:sz="0" w:space="0" w:color="auto"/>
                <w:left w:val="none" w:sz="0" w:space="0" w:color="auto"/>
                <w:bottom w:val="none" w:sz="0" w:space="0" w:color="auto"/>
                <w:right w:val="none" w:sz="0" w:space="0" w:color="auto"/>
              </w:pBdr>
              <w:spacing w:after="38" w:line="259" w:lineRule="auto"/>
              <w:ind w:left="0" w:firstLine="0"/>
            </w:pPr>
            <w:r>
              <w:rPr>
                <w:b/>
                <w:sz w:val="22"/>
              </w:rPr>
              <w:t>Reduce suspensions for Disadvantaged students.</w:t>
            </w:r>
            <w:r w:rsidR="004F6FE1">
              <w:rPr>
                <w:b/>
                <w:sz w:val="22"/>
              </w:rPr>
              <w:t xml:space="preserve"> </w:t>
            </w:r>
          </w:p>
          <w:p w14:paraId="736FFA5B" w14:textId="31179963" w:rsidR="00576139" w:rsidRPr="00576139" w:rsidRDefault="004F6FE1">
            <w:pPr>
              <w:pBdr>
                <w:top w:val="none" w:sz="0" w:space="0" w:color="auto"/>
                <w:left w:val="none" w:sz="0" w:space="0" w:color="auto"/>
                <w:bottom w:val="none" w:sz="0" w:space="0" w:color="auto"/>
                <w:right w:val="none" w:sz="0" w:space="0" w:color="auto"/>
              </w:pBdr>
              <w:spacing w:after="0" w:line="259" w:lineRule="auto"/>
              <w:ind w:left="0" w:right="13" w:firstLine="0"/>
              <w:rPr>
                <w:b/>
                <w:sz w:val="22"/>
              </w:rPr>
            </w:pPr>
            <w:r>
              <w:rPr>
                <w:sz w:val="22"/>
              </w:rPr>
              <w:t>Feedback from students, parents and teachers show that there is a need to continue to embed routines and high expectations with students who join the academy in Year 7, as well as in year transfers.  The impact of the pandemic is still being felt with some students and families placing less importance on education</w:t>
            </w:r>
            <w:r w:rsidR="004D1C2A">
              <w:rPr>
                <w:sz w:val="22"/>
              </w:rPr>
              <w:t>.</w:t>
            </w:r>
          </w:p>
        </w:tc>
      </w:tr>
      <w:tr w:rsidR="009972EC" w14:paraId="2A394A61" w14:textId="77777777">
        <w:trPr>
          <w:trHeight w:val="1534"/>
        </w:trPr>
        <w:tc>
          <w:tcPr>
            <w:tcW w:w="1476" w:type="dxa"/>
            <w:tcBorders>
              <w:top w:val="single" w:sz="4" w:space="0" w:color="000000"/>
              <w:left w:val="single" w:sz="4" w:space="0" w:color="000000"/>
              <w:bottom w:val="single" w:sz="4" w:space="0" w:color="000000"/>
              <w:right w:val="single" w:sz="4" w:space="0" w:color="000000"/>
            </w:tcBorders>
            <w:vAlign w:val="center"/>
          </w:tcPr>
          <w:p w14:paraId="3920835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3" w:firstLine="0"/>
              <w:jc w:val="center"/>
            </w:pPr>
            <w:r>
              <w:rPr>
                <w:sz w:val="22"/>
              </w:rPr>
              <w:t xml:space="preserve">3 </w:t>
            </w:r>
          </w:p>
        </w:tc>
        <w:tc>
          <w:tcPr>
            <w:tcW w:w="8010" w:type="dxa"/>
            <w:tcBorders>
              <w:top w:val="single" w:sz="4" w:space="0" w:color="000000"/>
              <w:left w:val="single" w:sz="4" w:space="0" w:color="000000"/>
              <w:bottom w:val="single" w:sz="4" w:space="0" w:color="000000"/>
              <w:right w:val="single" w:sz="4" w:space="0" w:color="000000"/>
            </w:tcBorders>
          </w:tcPr>
          <w:p w14:paraId="2F5C85B7" w14:textId="7BDB6DE7" w:rsidR="009972EC" w:rsidRDefault="004F6FE1">
            <w:pPr>
              <w:pBdr>
                <w:top w:val="none" w:sz="0" w:space="0" w:color="auto"/>
                <w:left w:val="none" w:sz="0" w:space="0" w:color="auto"/>
                <w:bottom w:val="none" w:sz="0" w:space="0" w:color="auto"/>
                <w:right w:val="none" w:sz="0" w:space="0" w:color="auto"/>
              </w:pBdr>
              <w:spacing w:after="60" w:line="240" w:lineRule="auto"/>
              <w:ind w:left="0" w:firstLine="0"/>
            </w:pPr>
            <w:r>
              <w:rPr>
                <w:b/>
                <w:sz w:val="22"/>
              </w:rPr>
              <w:t>Closing the progress and attainment gap between disadvantaged and non</w:t>
            </w:r>
            <w:r w:rsidR="00FC4312">
              <w:rPr>
                <w:b/>
                <w:sz w:val="22"/>
              </w:rPr>
              <w:t>-</w:t>
            </w:r>
            <w:r>
              <w:rPr>
                <w:b/>
                <w:sz w:val="22"/>
              </w:rPr>
              <w:t xml:space="preserve">disadvantaged students </w:t>
            </w:r>
          </w:p>
          <w:p w14:paraId="0B828BC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Although disadvantaged students at South Axholme Academy achieve higher than local and national (progress and attainment) there is still a significant gap between disadvantaged and non-disadvantaged students at South Axholme.    </w:t>
            </w:r>
          </w:p>
        </w:tc>
      </w:tr>
      <w:tr w:rsidR="009972EC" w14:paraId="15546C51" w14:textId="77777777">
        <w:trPr>
          <w:trHeight w:val="996"/>
        </w:trPr>
        <w:tc>
          <w:tcPr>
            <w:tcW w:w="1476" w:type="dxa"/>
            <w:tcBorders>
              <w:top w:val="single" w:sz="4" w:space="0" w:color="000000"/>
              <w:left w:val="single" w:sz="4" w:space="0" w:color="000000"/>
              <w:bottom w:val="single" w:sz="4" w:space="0" w:color="000000"/>
              <w:right w:val="single" w:sz="4" w:space="0" w:color="000000"/>
            </w:tcBorders>
            <w:vAlign w:val="center"/>
          </w:tcPr>
          <w:p w14:paraId="2E31AB40" w14:textId="0B6B6E6A" w:rsidR="009972EC" w:rsidRDefault="00FC4312">
            <w:pPr>
              <w:pBdr>
                <w:top w:val="none" w:sz="0" w:space="0" w:color="auto"/>
                <w:left w:val="none" w:sz="0" w:space="0" w:color="auto"/>
                <w:bottom w:val="none" w:sz="0" w:space="0" w:color="auto"/>
                <w:right w:val="none" w:sz="0" w:space="0" w:color="auto"/>
              </w:pBdr>
              <w:spacing w:after="0" w:line="259" w:lineRule="auto"/>
              <w:ind w:left="0" w:right="5" w:firstLine="0"/>
              <w:jc w:val="center"/>
            </w:pPr>
            <w:r>
              <w:rPr>
                <w:sz w:val="22"/>
              </w:rPr>
              <w:lastRenderedPageBreak/>
              <w:t>4</w:t>
            </w:r>
          </w:p>
        </w:tc>
        <w:tc>
          <w:tcPr>
            <w:tcW w:w="8010" w:type="dxa"/>
            <w:tcBorders>
              <w:top w:val="single" w:sz="4" w:space="0" w:color="000000"/>
              <w:left w:val="single" w:sz="4" w:space="0" w:color="000000"/>
              <w:bottom w:val="single" w:sz="4" w:space="0" w:color="000000"/>
              <w:right w:val="single" w:sz="4" w:space="0" w:color="000000"/>
            </w:tcBorders>
          </w:tcPr>
          <w:p w14:paraId="42837F61" w14:textId="0E59F970" w:rsidR="009972EC" w:rsidRDefault="00102F0E">
            <w:pPr>
              <w:pBdr>
                <w:top w:val="none" w:sz="0" w:space="0" w:color="auto"/>
                <w:left w:val="none" w:sz="0" w:space="0" w:color="auto"/>
                <w:bottom w:val="none" w:sz="0" w:space="0" w:color="auto"/>
                <w:right w:val="none" w:sz="0" w:space="0" w:color="auto"/>
              </w:pBdr>
              <w:spacing w:after="35" w:line="259" w:lineRule="auto"/>
              <w:ind w:left="0" w:firstLine="0"/>
            </w:pPr>
            <w:r>
              <w:rPr>
                <w:b/>
                <w:sz w:val="22"/>
              </w:rPr>
              <w:t>Reduce</w:t>
            </w:r>
            <w:r w:rsidR="004F6FE1">
              <w:rPr>
                <w:b/>
                <w:sz w:val="22"/>
              </w:rPr>
              <w:t xml:space="preserve"> Rates of Persistent Absenteeism </w:t>
            </w:r>
            <w:r w:rsidR="00FC4312">
              <w:rPr>
                <w:b/>
                <w:sz w:val="22"/>
              </w:rPr>
              <w:t xml:space="preserve">and </w:t>
            </w:r>
            <w:r>
              <w:rPr>
                <w:b/>
                <w:sz w:val="22"/>
              </w:rPr>
              <w:t xml:space="preserve">raising </w:t>
            </w:r>
            <w:r w:rsidR="00FC4312">
              <w:rPr>
                <w:b/>
                <w:sz w:val="22"/>
              </w:rPr>
              <w:t>attendance</w:t>
            </w:r>
          </w:p>
          <w:p w14:paraId="1EB4F66B" w14:textId="77777777" w:rsidR="009972EC" w:rsidRPr="00FC4312" w:rsidRDefault="00FC4312">
            <w:pPr>
              <w:pBdr>
                <w:top w:val="none" w:sz="0" w:space="0" w:color="auto"/>
                <w:left w:val="none" w:sz="0" w:space="0" w:color="auto"/>
                <w:bottom w:val="none" w:sz="0" w:space="0" w:color="auto"/>
                <w:right w:val="none" w:sz="0" w:space="0" w:color="auto"/>
              </w:pBdr>
              <w:spacing w:after="0" w:line="259" w:lineRule="auto"/>
              <w:ind w:left="0" w:firstLine="0"/>
              <w:rPr>
                <w:sz w:val="22"/>
              </w:rPr>
            </w:pPr>
            <w:r w:rsidRPr="00FC4312">
              <w:rPr>
                <w:sz w:val="22"/>
              </w:rPr>
              <w:t>Attendance for 2024/2025 for disadvantaged was 88% vs non-disadvantaged 94% however national average for disadvantaged was 86% (2% lower than ours).</w:t>
            </w:r>
          </w:p>
          <w:p w14:paraId="49BA90DE" w14:textId="30D52439" w:rsidR="00FC4312" w:rsidRDefault="00FC4312">
            <w:pPr>
              <w:pBdr>
                <w:top w:val="none" w:sz="0" w:space="0" w:color="auto"/>
                <w:left w:val="none" w:sz="0" w:space="0" w:color="auto"/>
                <w:bottom w:val="none" w:sz="0" w:space="0" w:color="auto"/>
                <w:right w:val="none" w:sz="0" w:space="0" w:color="auto"/>
              </w:pBdr>
              <w:spacing w:after="0" w:line="259" w:lineRule="auto"/>
              <w:ind w:left="0" w:firstLine="0"/>
            </w:pPr>
            <w:r w:rsidRPr="00FC4312">
              <w:rPr>
                <w:sz w:val="22"/>
              </w:rPr>
              <w:t>Persistent absences for disadvantaged for 2024/25 37% and non-disadvantaged was 16%</w:t>
            </w:r>
            <w:r>
              <w:rPr>
                <w:sz w:val="22"/>
              </w:rPr>
              <w:t xml:space="preserve"> (National for PA for disadvantaged is 37.5%)</w:t>
            </w:r>
          </w:p>
        </w:tc>
      </w:tr>
      <w:tr w:rsidR="009972EC" w14:paraId="089E680D" w14:textId="77777777">
        <w:trPr>
          <w:trHeight w:val="1803"/>
        </w:trPr>
        <w:tc>
          <w:tcPr>
            <w:tcW w:w="1476" w:type="dxa"/>
            <w:tcBorders>
              <w:top w:val="single" w:sz="4" w:space="0" w:color="000000"/>
              <w:left w:val="single" w:sz="4" w:space="0" w:color="000000"/>
              <w:bottom w:val="single" w:sz="4" w:space="0" w:color="000000"/>
              <w:right w:val="single" w:sz="4" w:space="0" w:color="000000"/>
            </w:tcBorders>
            <w:vAlign w:val="center"/>
          </w:tcPr>
          <w:p w14:paraId="62CC26D5" w14:textId="0CD78D7F" w:rsidR="009972EC" w:rsidRDefault="00FC4312">
            <w:pPr>
              <w:pBdr>
                <w:top w:val="none" w:sz="0" w:space="0" w:color="auto"/>
                <w:left w:val="none" w:sz="0" w:space="0" w:color="auto"/>
                <w:bottom w:val="none" w:sz="0" w:space="0" w:color="auto"/>
                <w:right w:val="none" w:sz="0" w:space="0" w:color="auto"/>
              </w:pBdr>
              <w:spacing w:after="0" w:line="259" w:lineRule="auto"/>
              <w:ind w:left="0" w:right="5" w:firstLine="0"/>
              <w:jc w:val="center"/>
            </w:pPr>
            <w:r>
              <w:rPr>
                <w:sz w:val="22"/>
              </w:rPr>
              <w:t>5</w:t>
            </w:r>
          </w:p>
        </w:tc>
        <w:tc>
          <w:tcPr>
            <w:tcW w:w="8010" w:type="dxa"/>
            <w:tcBorders>
              <w:top w:val="single" w:sz="4" w:space="0" w:color="000000"/>
              <w:left w:val="single" w:sz="4" w:space="0" w:color="000000"/>
              <w:bottom w:val="single" w:sz="4" w:space="0" w:color="000000"/>
              <w:right w:val="single" w:sz="4" w:space="0" w:color="000000"/>
            </w:tcBorders>
          </w:tcPr>
          <w:p w14:paraId="4CFA9730"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firstLine="0"/>
            </w:pPr>
            <w:r>
              <w:rPr>
                <w:b/>
                <w:sz w:val="22"/>
              </w:rPr>
              <w:t xml:space="preserve">Curriculum Responding to Those Who are Not Thriving   </w:t>
            </w:r>
          </w:p>
          <w:p w14:paraId="4486F62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We have a 2yr KS4 and have made strong strides in developing an excellent curriculum vision and planning across the academy.  We need to continue to build on that to ensure that we have all students on the most appropriate curriculum for their needs and future aspirations, whilst ensuring that our approach responds to the needs of those who are not thriving.   </w:t>
            </w:r>
          </w:p>
        </w:tc>
      </w:tr>
    </w:tbl>
    <w:p w14:paraId="1C2E35CC" w14:textId="77777777" w:rsidR="009972EC" w:rsidRDefault="004F6FE1">
      <w:pPr>
        <w:pStyle w:val="Heading2"/>
        <w:ind w:left="-5"/>
      </w:pPr>
      <w:r>
        <w:t xml:space="preserve">Intended outcomes  </w:t>
      </w:r>
    </w:p>
    <w:p w14:paraId="33D297D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rPr>
        <w:t xml:space="preserve">This explains the outcomes we are aiming for </w:t>
      </w:r>
      <w:r>
        <w:rPr>
          <w:b/>
          <w:color w:val="000000"/>
        </w:rPr>
        <w:t>by the end of our current strategy plan</w:t>
      </w:r>
      <w:r>
        <w:rPr>
          <w:color w:val="000000"/>
        </w:rPr>
        <w:t xml:space="preserve">, and how we will measure whether they have been achieved. </w:t>
      </w:r>
    </w:p>
    <w:tbl>
      <w:tblPr>
        <w:tblStyle w:val="TableGrid"/>
        <w:tblW w:w="9486" w:type="dxa"/>
        <w:tblInd w:w="7" w:type="dxa"/>
        <w:tblCellMar>
          <w:top w:w="49" w:type="dxa"/>
          <w:left w:w="108" w:type="dxa"/>
          <w:right w:w="77" w:type="dxa"/>
        </w:tblCellMar>
        <w:tblLook w:val="04A0" w:firstRow="1" w:lastRow="0" w:firstColumn="1" w:lastColumn="0" w:noHBand="0" w:noVBand="1"/>
      </w:tblPr>
      <w:tblGrid>
        <w:gridCol w:w="3963"/>
        <w:gridCol w:w="5523"/>
      </w:tblGrid>
      <w:tr w:rsidR="009972EC" w14:paraId="3EA11B2B" w14:textId="77777777">
        <w:trPr>
          <w:trHeight w:val="420"/>
        </w:trPr>
        <w:tc>
          <w:tcPr>
            <w:tcW w:w="3963" w:type="dxa"/>
            <w:tcBorders>
              <w:top w:val="single" w:sz="4" w:space="0" w:color="000000"/>
              <w:left w:val="single" w:sz="4" w:space="0" w:color="000000"/>
              <w:bottom w:val="single" w:sz="4" w:space="0" w:color="000000"/>
              <w:right w:val="single" w:sz="4" w:space="0" w:color="000000"/>
            </w:tcBorders>
            <w:shd w:val="clear" w:color="auto" w:fill="CCCCFF"/>
          </w:tcPr>
          <w:p w14:paraId="31171C6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3" w:firstLine="0"/>
              <w:jc w:val="center"/>
            </w:pPr>
            <w:r>
              <w:rPr>
                <w:b/>
              </w:rPr>
              <w:t xml:space="preserve">Intended Outcome </w:t>
            </w:r>
          </w:p>
        </w:tc>
        <w:tc>
          <w:tcPr>
            <w:tcW w:w="5523" w:type="dxa"/>
            <w:tcBorders>
              <w:top w:val="single" w:sz="4" w:space="0" w:color="000000"/>
              <w:left w:val="single" w:sz="4" w:space="0" w:color="000000"/>
              <w:bottom w:val="single" w:sz="4" w:space="0" w:color="000000"/>
              <w:right w:val="single" w:sz="4" w:space="0" w:color="000000"/>
            </w:tcBorders>
            <w:shd w:val="clear" w:color="auto" w:fill="CCCCFF"/>
          </w:tcPr>
          <w:p w14:paraId="5EAA1980"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3" w:firstLine="0"/>
              <w:jc w:val="center"/>
            </w:pPr>
            <w:r>
              <w:rPr>
                <w:b/>
              </w:rPr>
              <w:t xml:space="preserve">Success Criteria </w:t>
            </w:r>
          </w:p>
        </w:tc>
      </w:tr>
      <w:tr w:rsidR="009972EC" w14:paraId="7E9C6E42" w14:textId="77777777">
        <w:trPr>
          <w:trHeight w:val="2169"/>
        </w:trPr>
        <w:tc>
          <w:tcPr>
            <w:tcW w:w="3963" w:type="dxa"/>
            <w:tcBorders>
              <w:top w:val="single" w:sz="4" w:space="0" w:color="000000"/>
              <w:left w:val="single" w:sz="4" w:space="0" w:color="000000"/>
              <w:bottom w:val="single" w:sz="4" w:space="0" w:color="000000"/>
              <w:right w:val="single" w:sz="4" w:space="0" w:color="000000"/>
            </w:tcBorders>
            <w:vAlign w:val="center"/>
          </w:tcPr>
          <w:p w14:paraId="459C0807" w14:textId="100B6B2C"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w:t>
            </w:r>
            <w:r w:rsidR="00F36770">
              <w:rPr>
                <w:sz w:val="22"/>
              </w:rPr>
              <w:t>reduce</w:t>
            </w:r>
            <w:r>
              <w:rPr>
                <w:sz w:val="22"/>
              </w:rPr>
              <w:t xml:space="preserve"> attainment and progress gaps for disadvantaged students. </w:t>
            </w:r>
          </w:p>
        </w:tc>
        <w:tc>
          <w:tcPr>
            <w:tcW w:w="5523" w:type="dxa"/>
            <w:tcBorders>
              <w:top w:val="single" w:sz="4" w:space="0" w:color="000000"/>
              <w:left w:val="single" w:sz="4" w:space="0" w:color="000000"/>
              <w:bottom w:val="single" w:sz="4" w:space="0" w:color="000000"/>
              <w:right w:val="single" w:sz="4" w:space="0" w:color="000000"/>
            </w:tcBorders>
          </w:tcPr>
          <w:p w14:paraId="0DECD25B" w14:textId="14719854" w:rsidR="009972EC" w:rsidRDefault="004F6FE1">
            <w:pPr>
              <w:numPr>
                <w:ilvl w:val="0"/>
                <w:numId w:val="1"/>
              </w:numPr>
              <w:pBdr>
                <w:top w:val="none" w:sz="0" w:space="0" w:color="auto"/>
                <w:left w:val="none" w:sz="0" w:space="0" w:color="auto"/>
                <w:bottom w:val="none" w:sz="0" w:space="0" w:color="auto"/>
                <w:right w:val="none" w:sz="0" w:space="0" w:color="auto"/>
              </w:pBdr>
              <w:spacing w:after="109" w:line="238" w:lineRule="auto"/>
              <w:ind w:hanging="168"/>
            </w:pPr>
            <w:r>
              <w:rPr>
                <w:sz w:val="22"/>
              </w:rPr>
              <w:t xml:space="preserve">The progress of disadvantaged students is </w:t>
            </w:r>
            <w:r w:rsidR="00F36770">
              <w:rPr>
                <w:sz w:val="22"/>
              </w:rPr>
              <w:t>within 0.25 of</w:t>
            </w:r>
            <w:r>
              <w:rPr>
                <w:sz w:val="22"/>
              </w:rPr>
              <w:t xml:space="preserve"> non-disadvantaged students in all subject areas.   </w:t>
            </w:r>
          </w:p>
          <w:p w14:paraId="514EB06B" w14:textId="77777777" w:rsidR="009972EC" w:rsidRDefault="004F6FE1">
            <w:pPr>
              <w:numPr>
                <w:ilvl w:val="0"/>
                <w:numId w:val="1"/>
              </w:numPr>
              <w:pBdr>
                <w:top w:val="none" w:sz="0" w:space="0" w:color="auto"/>
                <w:left w:val="none" w:sz="0" w:space="0" w:color="auto"/>
                <w:bottom w:val="none" w:sz="0" w:space="0" w:color="auto"/>
                <w:right w:val="none" w:sz="0" w:space="0" w:color="auto"/>
              </w:pBdr>
              <w:spacing w:after="108" w:line="240" w:lineRule="auto"/>
              <w:ind w:hanging="168"/>
            </w:pPr>
            <w:r>
              <w:rPr>
                <w:sz w:val="22"/>
              </w:rPr>
              <w:t xml:space="preserve">GCSE outcomes for disadvantaged students are at least positive in all subject areas and working towards being in line with non-disadvantaged students nationally.   </w:t>
            </w:r>
          </w:p>
          <w:p w14:paraId="52D2DE06" w14:textId="77777777" w:rsidR="009972EC" w:rsidRDefault="004F6FE1">
            <w:pPr>
              <w:numPr>
                <w:ilvl w:val="0"/>
                <w:numId w:val="1"/>
              </w:numPr>
              <w:pBdr>
                <w:top w:val="none" w:sz="0" w:space="0" w:color="auto"/>
                <w:left w:val="none" w:sz="0" w:space="0" w:color="auto"/>
                <w:bottom w:val="none" w:sz="0" w:space="0" w:color="auto"/>
                <w:right w:val="none" w:sz="0" w:space="0" w:color="auto"/>
              </w:pBdr>
              <w:spacing w:after="0" w:line="259" w:lineRule="auto"/>
              <w:ind w:hanging="168"/>
            </w:pPr>
            <w:r>
              <w:rPr>
                <w:sz w:val="22"/>
              </w:rPr>
              <w:t xml:space="preserve">Improving the proportion of students achieving a grade 5 plus in both English and Maths </w:t>
            </w:r>
          </w:p>
        </w:tc>
      </w:tr>
      <w:tr w:rsidR="009972EC" w14:paraId="7B809FB9" w14:textId="77777777">
        <w:trPr>
          <w:trHeight w:val="948"/>
        </w:trPr>
        <w:tc>
          <w:tcPr>
            <w:tcW w:w="3963" w:type="dxa"/>
            <w:tcBorders>
              <w:top w:val="single" w:sz="4" w:space="0" w:color="000000"/>
              <w:left w:val="single" w:sz="4" w:space="0" w:color="000000"/>
              <w:bottom w:val="single" w:sz="4" w:space="0" w:color="000000"/>
              <w:right w:val="single" w:sz="4" w:space="0" w:color="000000"/>
            </w:tcBorders>
          </w:tcPr>
          <w:p w14:paraId="7F4C265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achieve and sustain improved attendance for all students, particularly our disadvantaged students.   </w:t>
            </w:r>
          </w:p>
        </w:tc>
        <w:tc>
          <w:tcPr>
            <w:tcW w:w="5523" w:type="dxa"/>
            <w:tcBorders>
              <w:top w:val="single" w:sz="4" w:space="0" w:color="000000"/>
              <w:left w:val="single" w:sz="4" w:space="0" w:color="000000"/>
              <w:bottom w:val="single" w:sz="4" w:space="0" w:color="000000"/>
              <w:right w:val="single" w:sz="4" w:space="0" w:color="000000"/>
            </w:tcBorders>
          </w:tcPr>
          <w:p w14:paraId="2768D35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168" w:hanging="168"/>
            </w:pPr>
            <w:r>
              <w:rPr>
                <w:rFonts w:ascii="Segoe UI Symbol" w:eastAsia="Segoe UI Symbol" w:hAnsi="Segoe UI Symbol" w:cs="Segoe UI Symbol"/>
                <w:sz w:val="22"/>
              </w:rPr>
              <w:t></w:t>
            </w:r>
            <w:r>
              <w:rPr>
                <w:rFonts w:ascii="Arial" w:eastAsia="Arial" w:hAnsi="Arial" w:cs="Arial"/>
                <w:sz w:val="22"/>
              </w:rPr>
              <w:t xml:space="preserve"> </w:t>
            </w:r>
            <w:r>
              <w:rPr>
                <w:sz w:val="22"/>
              </w:rPr>
              <w:t xml:space="preserve">The attendance gap between SAX disadvantaged students is reduced when compared to all students nationally.   </w:t>
            </w:r>
          </w:p>
        </w:tc>
      </w:tr>
      <w:tr w:rsidR="009972EC" w14:paraId="487DB927" w14:textId="77777777">
        <w:trPr>
          <w:trHeight w:val="1217"/>
        </w:trPr>
        <w:tc>
          <w:tcPr>
            <w:tcW w:w="3963" w:type="dxa"/>
            <w:tcBorders>
              <w:top w:val="single" w:sz="4" w:space="0" w:color="000000"/>
              <w:left w:val="single" w:sz="4" w:space="0" w:color="000000"/>
              <w:bottom w:val="single" w:sz="4" w:space="0" w:color="000000"/>
              <w:right w:val="single" w:sz="4" w:space="0" w:color="000000"/>
            </w:tcBorders>
            <w:vAlign w:val="center"/>
          </w:tcPr>
          <w:p w14:paraId="107C645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improve the attendance of disadvantaged students at parents’ evenings.   </w:t>
            </w:r>
          </w:p>
        </w:tc>
        <w:tc>
          <w:tcPr>
            <w:tcW w:w="5523" w:type="dxa"/>
            <w:tcBorders>
              <w:top w:val="single" w:sz="4" w:space="0" w:color="000000"/>
              <w:left w:val="single" w:sz="4" w:space="0" w:color="000000"/>
              <w:bottom w:val="single" w:sz="4" w:space="0" w:color="000000"/>
              <w:right w:val="single" w:sz="4" w:space="0" w:color="000000"/>
            </w:tcBorders>
          </w:tcPr>
          <w:p w14:paraId="0F22E37C" w14:textId="28B0587D" w:rsidR="009972EC" w:rsidRDefault="004F6FE1">
            <w:pPr>
              <w:pBdr>
                <w:top w:val="none" w:sz="0" w:space="0" w:color="auto"/>
                <w:left w:val="none" w:sz="0" w:space="0" w:color="auto"/>
                <w:bottom w:val="none" w:sz="0" w:space="0" w:color="auto"/>
                <w:right w:val="none" w:sz="0" w:space="0" w:color="auto"/>
              </w:pBdr>
              <w:spacing w:after="0" w:line="259" w:lineRule="auto"/>
              <w:ind w:left="168" w:hanging="168"/>
            </w:pPr>
            <w:r>
              <w:rPr>
                <w:rFonts w:ascii="Segoe UI Symbol" w:eastAsia="Segoe UI Symbol" w:hAnsi="Segoe UI Symbol" w:cs="Segoe UI Symbol"/>
                <w:sz w:val="22"/>
              </w:rPr>
              <w:t></w:t>
            </w:r>
            <w:r>
              <w:rPr>
                <w:rFonts w:ascii="Arial" w:eastAsia="Arial" w:hAnsi="Arial" w:cs="Arial"/>
                <w:sz w:val="22"/>
              </w:rPr>
              <w:t xml:space="preserve"> </w:t>
            </w:r>
            <w:r>
              <w:rPr>
                <w:sz w:val="22"/>
              </w:rPr>
              <w:t>The engagement of disadvantaged students at parents’ evenings is in line with non-disadvantaged students</w:t>
            </w:r>
            <w:r w:rsidR="00102F0E">
              <w:rPr>
                <w:sz w:val="22"/>
              </w:rPr>
              <w:t>.</w:t>
            </w:r>
          </w:p>
        </w:tc>
      </w:tr>
      <w:tr w:rsidR="009972EC" w14:paraId="095E07FC" w14:textId="77777777">
        <w:trPr>
          <w:trHeight w:val="876"/>
        </w:trPr>
        <w:tc>
          <w:tcPr>
            <w:tcW w:w="3963" w:type="dxa"/>
            <w:tcBorders>
              <w:top w:val="single" w:sz="4" w:space="0" w:color="000000"/>
              <w:left w:val="single" w:sz="4" w:space="0" w:color="000000"/>
              <w:bottom w:val="single" w:sz="4" w:space="0" w:color="000000"/>
              <w:right w:val="single" w:sz="4" w:space="0" w:color="000000"/>
            </w:tcBorders>
          </w:tcPr>
          <w:p w14:paraId="1A34F45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ensure that our KS4 curriculum remains broad and balanced, and that all disadvantaged students are able to </w:t>
            </w:r>
          </w:p>
        </w:tc>
        <w:tc>
          <w:tcPr>
            <w:tcW w:w="5523" w:type="dxa"/>
            <w:tcBorders>
              <w:top w:val="single" w:sz="4" w:space="0" w:color="000000"/>
              <w:left w:val="single" w:sz="4" w:space="0" w:color="000000"/>
              <w:bottom w:val="single" w:sz="4" w:space="0" w:color="000000"/>
              <w:right w:val="single" w:sz="4" w:space="0" w:color="000000"/>
            </w:tcBorders>
          </w:tcPr>
          <w:p w14:paraId="7C8EB260"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168" w:hanging="168"/>
            </w:pPr>
            <w:r>
              <w:rPr>
                <w:rFonts w:ascii="Segoe UI Symbol" w:eastAsia="Segoe UI Symbol" w:hAnsi="Segoe UI Symbol" w:cs="Segoe UI Symbol"/>
                <w:sz w:val="22"/>
              </w:rPr>
              <w:t></w:t>
            </w:r>
            <w:r>
              <w:rPr>
                <w:rFonts w:ascii="Arial" w:eastAsia="Arial" w:hAnsi="Arial" w:cs="Arial"/>
                <w:sz w:val="22"/>
              </w:rPr>
              <w:t xml:space="preserve"> </w:t>
            </w:r>
            <w:r>
              <w:rPr>
                <w:sz w:val="22"/>
              </w:rPr>
              <w:t xml:space="preserve">All disadvantaged students are able to access the same curriculum as non-disadvantaged students.   </w:t>
            </w:r>
          </w:p>
        </w:tc>
      </w:tr>
      <w:tr w:rsidR="009972EC" w14:paraId="44B8393E" w14:textId="77777777">
        <w:trPr>
          <w:trHeight w:val="888"/>
        </w:trPr>
        <w:tc>
          <w:tcPr>
            <w:tcW w:w="3963" w:type="dxa"/>
            <w:tcBorders>
              <w:top w:val="single" w:sz="4" w:space="0" w:color="000000"/>
              <w:left w:val="single" w:sz="4" w:space="0" w:color="000000"/>
              <w:bottom w:val="single" w:sz="4" w:space="0" w:color="000000"/>
              <w:right w:val="single" w:sz="4" w:space="0" w:color="000000"/>
            </w:tcBorders>
          </w:tcPr>
          <w:p w14:paraId="776512C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2" w:firstLine="0"/>
            </w:pPr>
            <w:r>
              <w:rPr>
                <w:sz w:val="22"/>
              </w:rPr>
              <w:t xml:space="preserve">follow a curriculum that allows them to access a wide range of post-16 opportunities.   </w:t>
            </w:r>
          </w:p>
        </w:tc>
        <w:tc>
          <w:tcPr>
            <w:tcW w:w="5523" w:type="dxa"/>
            <w:tcBorders>
              <w:top w:val="single" w:sz="4" w:space="0" w:color="000000"/>
              <w:left w:val="single" w:sz="4" w:space="0" w:color="000000"/>
              <w:bottom w:val="single" w:sz="4" w:space="0" w:color="000000"/>
              <w:right w:val="single" w:sz="4" w:space="0" w:color="000000"/>
            </w:tcBorders>
          </w:tcPr>
          <w:p w14:paraId="7B8F54E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168" w:hanging="168"/>
            </w:pPr>
            <w:r>
              <w:rPr>
                <w:rFonts w:ascii="Segoe UI Symbol" w:eastAsia="Segoe UI Symbol" w:hAnsi="Segoe UI Symbol" w:cs="Segoe UI Symbol"/>
                <w:sz w:val="22"/>
              </w:rPr>
              <w:t></w:t>
            </w:r>
            <w:r>
              <w:rPr>
                <w:rFonts w:ascii="Arial" w:eastAsia="Arial" w:hAnsi="Arial" w:cs="Arial"/>
                <w:sz w:val="22"/>
              </w:rPr>
              <w:t xml:space="preserve"> </w:t>
            </w:r>
            <w:r>
              <w:rPr>
                <w:sz w:val="22"/>
              </w:rPr>
              <w:t xml:space="preserve">Ensure that all disadvantaged students are on the correct curriculum path (and are well informed) to allow them to access a wide range of post 16 opportunities. </w:t>
            </w:r>
          </w:p>
        </w:tc>
      </w:tr>
      <w:tr w:rsidR="009972EC" w14:paraId="7E293C5E" w14:textId="77777777">
        <w:trPr>
          <w:trHeight w:val="1558"/>
        </w:trPr>
        <w:tc>
          <w:tcPr>
            <w:tcW w:w="3963" w:type="dxa"/>
            <w:tcBorders>
              <w:top w:val="single" w:sz="4" w:space="0" w:color="000000"/>
              <w:left w:val="single" w:sz="4" w:space="0" w:color="000000"/>
              <w:bottom w:val="single" w:sz="4" w:space="0" w:color="000000"/>
              <w:right w:val="single" w:sz="4" w:space="0" w:color="000000"/>
            </w:tcBorders>
            <w:vAlign w:val="center"/>
          </w:tcPr>
          <w:p w14:paraId="6A78E2F3"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2" w:firstLine="0"/>
            </w:pPr>
            <w:r>
              <w:rPr>
                <w:sz w:val="22"/>
              </w:rPr>
              <w:t xml:space="preserve">To increase the cultural capital of disadvantaged students within the academy.   </w:t>
            </w:r>
          </w:p>
        </w:tc>
        <w:tc>
          <w:tcPr>
            <w:tcW w:w="5523" w:type="dxa"/>
            <w:tcBorders>
              <w:top w:val="single" w:sz="4" w:space="0" w:color="000000"/>
              <w:left w:val="single" w:sz="4" w:space="0" w:color="000000"/>
              <w:bottom w:val="single" w:sz="4" w:space="0" w:color="000000"/>
              <w:right w:val="single" w:sz="4" w:space="0" w:color="000000"/>
            </w:tcBorders>
          </w:tcPr>
          <w:p w14:paraId="3AA785E7" w14:textId="77777777" w:rsidR="009972EC" w:rsidRDefault="004F6FE1">
            <w:pPr>
              <w:numPr>
                <w:ilvl w:val="0"/>
                <w:numId w:val="2"/>
              </w:numPr>
              <w:pBdr>
                <w:top w:val="none" w:sz="0" w:space="0" w:color="auto"/>
                <w:left w:val="none" w:sz="0" w:space="0" w:color="auto"/>
                <w:bottom w:val="none" w:sz="0" w:space="0" w:color="auto"/>
                <w:right w:val="none" w:sz="0" w:space="0" w:color="auto"/>
              </w:pBdr>
              <w:spacing w:after="107" w:line="240" w:lineRule="auto"/>
              <w:ind w:hanging="168"/>
            </w:pPr>
            <w:r>
              <w:rPr>
                <w:sz w:val="22"/>
              </w:rPr>
              <w:t xml:space="preserve">All disadvantaged students have the ability to access a wide range of extra-curricular activities.   </w:t>
            </w:r>
          </w:p>
          <w:p w14:paraId="47C8D1E6" w14:textId="77777777" w:rsidR="009972EC" w:rsidRDefault="004F6FE1">
            <w:pPr>
              <w:numPr>
                <w:ilvl w:val="0"/>
                <w:numId w:val="2"/>
              </w:numPr>
              <w:pBdr>
                <w:top w:val="none" w:sz="0" w:space="0" w:color="auto"/>
                <w:left w:val="none" w:sz="0" w:space="0" w:color="auto"/>
                <w:bottom w:val="none" w:sz="0" w:space="0" w:color="auto"/>
                <w:right w:val="none" w:sz="0" w:space="0" w:color="auto"/>
              </w:pBdr>
              <w:spacing w:after="0" w:line="259" w:lineRule="auto"/>
              <w:ind w:hanging="168"/>
            </w:pPr>
            <w:r>
              <w:rPr>
                <w:sz w:val="22"/>
              </w:rPr>
              <w:t xml:space="preserve">All disadvantaged students have taken part in some form of cultural or personal development opportunity beyond their normal classroom experience.   </w:t>
            </w:r>
          </w:p>
        </w:tc>
      </w:tr>
      <w:tr w:rsidR="009972EC" w14:paraId="6186263C" w14:textId="77777777">
        <w:trPr>
          <w:trHeight w:val="2703"/>
        </w:trPr>
        <w:tc>
          <w:tcPr>
            <w:tcW w:w="3963" w:type="dxa"/>
            <w:tcBorders>
              <w:top w:val="single" w:sz="4" w:space="0" w:color="000000"/>
              <w:left w:val="single" w:sz="4" w:space="0" w:color="000000"/>
              <w:bottom w:val="single" w:sz="4" w:space="0" w:color="000000"/>
              <w:right w:val="single" w:sz="4" w:space="0" w:color="000000"/>
            </w:tcBorders>
            <w:vAlign w:val="center"/>
          </w:tcPr>
          <w:p w14:paraId="0EFDDDD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2" w:firstLine="0"/>
            </w:pPr>
            <w:r>
              <w:rPr>
                <w:sz w:val="22"/>
              </w:rPr>
              <w:lastRenderedPageBreak/>
              <w:t xml:space="preserve">To ensure a positive transition for all students, particularly disadvantaged students, from KS2 to KS3.   </w:t>
            </w:r>
          </w:p>
        </w:tc>
        <w:tc>
          <w:tcPr>
            <w:tcW w:w="5523" w:type="dxa"/>
            <w:tcBorders>
              <w:top w:val="single" w:sz="4" w:space="0" w:color="000000"/>
              <w:left w:val="single" w:sz="4" w:space="0" w:color="000000"/>
              <w:bottom w:val="single" w:sz="4" w:space="0" w:color="000000"/>
              <w:right w:val="single" w:sz="4" w:space="0" w:color="000000"/>
            </w:tcBorders>
          </w:tcPr>
          <w:p w14:paraId="3C34F034" w14:textId="77777777" w:rsidR="009972EC" w:rsidRDefault="004F6FE1">
            <w:pPr>
              <w:numPr>
                <w:ilvl w:val="0"/>
                <w:numId w:val="3"/>
              </w:numPr>
              <w:pBdr>
                <w:top w:val="none" w:sz="0" w:space="0" w:color="auto"/>
                <w:left w:val="none" w:sz="0" w:space="0" w:color="auto"/>
                <w:bottom w:val="none" w:sz="0" w:space="0" w:color="auto"/>
                <w:right w:val="none" w:sz="0" w:space="0" w:color="auto"/>
              </w:pBdr>
              <w:spacing w:after="108" w:line="239" w:lineRule="auto"/>
              <w:ind w:hanging="168"/>
            </w:pPr>
            <w:r>
              <w:rPr>
                <w:sz w:val="22"/>
              </w:rPr>
              <w:t xml:space="preserve">Significant support is in place to facilitate the transition from primary to secondary and to reduce any barriers to learning to support the engagement of targeted families before they join SAX.   </w:t>
            </w:r>
          </w:p>
          <w:p w14:paraId="55EFC5F8" w14:textId="7717D1B0" w:rsidR="009972EC" w:rsidRDefault="004F6FE1">
            <w:pPr>
              <w:numPr>
                <w:ilvl w:val="0"/>
                <w:numId w:val="3"/>
              </w:numPr>
              <w:pBdr>
                <w:top w:val="none" w:sz="0" w:space="0" w:color="auto"/>
                <w:left w:val="none" w:sz="0" w:space="0" w:color="auto"/>
                <w:bottom w:val="none" w:sz="0" w:space="0" w:color="auto"/>
                <w:right w:val="none" w:sz="0" w:space="0" w:color="auto"/>
              </w:pBdr>
              <w:spacing w:after="107" w:line="240" w:lineRule="auto"/>
              <w:ind w:hanging="168"/>
            </w:pPr>
            <w:r>
              <w:rPr>
                <w:sz w:val="22"/>
              </w:rPr>
              <w:t xml:space="preserve">Attendance for disadvantaged students in Y7 is in line with </w:t>
            </w:r>
            <w:r w:rsidR="00102F0E">
              <w:rPr>
                <w:sz w:val="22"/>
              </w:rPr>
              <w:t xml:space="preserve">non-disadvantaged. </w:t>
            </w:r>
          </w:p>
          <w:p w14:paraId="6A8A9515" w14:textId="627F02C3" w:rsidR="009972EC" w:rsidRDefault="00102F0E">
            <w:pPr>
              <w:numPr>
                <w:ilvl w:val="0"/>
                <w:numId w:val="3"/>
              </w:numPr>
              <w:pBdr>
                <w:top w:val="none" w:sz="0" w:space="0" w:color="auto"/>
                <w:left w:val="none" w:sz="0" w:space="0" w:color="auto"/>
                <w:bottom w:val="none" w:sz="0" w:space="0" w:color="auto"/>
                <w:right w:val="none" w:sz="0" w:space="0" w:color="auto"/>
              </w:pBdr>
              <w:spacing w:after="0" w:line="259" w:lineRule="auto"/>
              <w:ind w:hanging="168"/>
            </w:pPr>
            <w:r>
              <w:rPr>
                <w:sz w:val="22"/>
              </w:rPr>
              <w:t xml:space="preserve">The gap continues to close </w:t>
            </w:r>
            <w:r w:rsidR="004F6FE1">
              <w:rPr>
                <w:sz w:val="22"/>
              </w:rPr>
              <w:t xml:space="preserve">between the Behaviour points and suspension data for disadvantaged students v nondisadvantaged students in Y7. </w:t>
            </w:r>
          </w:p>
        </w:tc>
      </w:tr>
    </w:tbl>
    <w:p w14:paraId="7275C34E" w14:textId="77777777" w:rsidR="009972EC" w:rsidRDefault="004F6FE1">
      <w:pPr>
        <w:pBdr>
          <w:top w:val="none" w:sz="0" w:space="0" w:color="auto"/>
          <w:left w:val="none" w:sz="0" w:space="0" w:color="auto"/>
          <w:bottom w:val="none" w:sz="0" w:space="0" w:color="auto"/>
          <w:right w:val="none" w:sz="0" w:space="0" w:color="auto"/>
        </w:pBdr>
        <w:spacing w:after="643" w:line="259" w:lineRule="auto"/>
        <w:ind w:left="0" w:firstLine="0"/>
      </w:pPr>
      <w:r>
        <w:rPr>
          <w:rFonts w:ascii="Arial" w:eastAsia="Arial" w:hAnsi="Arial" w:cs="Arial"/>
        </w:rPr>
        <w:t xml:space="preserve"> </w:t>
      </w:r>
    </w:p>
    <w:p w14:paraId="2AD27CAD" w14:textId="77777777" w:rsidR="009972EC" w:rsidRDefault="004F6FE1">
      <w:pPr>
        <w:pStyle w:val="Heading2"/>
        <w:spacing w:after="135"/>
        <w:ind w:left="0" w:firstLine="0"/>
      </w:pPr>
      <w:r>
        <w:rPr>
          <w:rFonts w:ascii="Arial" w:eastAsia="Arial" w:hAnsi="Arial" w:cs="Arial"/>
          <w:color w:val="104F75"/>
        </w:rPr>
        <w:t>A</w:t>
      </w:r>
      <w:r>
        <w:rPr>
          <w:color w:val="104F75"/>
        </w:rPr>
        <w:t xml:space="preserve">ctivity in this academic year </w:t>
      </w:r>
    </w:p>
    <w:p w14:paraId="6805BDB4" w14:textId="77777777" w:rsidR="009972EC" w:rsidRDefault="004F6FE1">
      <w:pPr>
        <w:pBdr>
          <w:top w:val="none" w:sz="0" w:space="0" w:color="auto"/>
          <w:left w:val="none" w:sz="0" w:space="0" w:color="auto"/>
          <w:bottom w:val="none" w:sz="0" w:space="0" w:color="auto"/>
          <w:right w:val="none" w:sz="0" w:space="0" w:color="auto"/>
        </w:pBdr>
        <w:spacing w:after="517"/>
        <w:ind w:left="-5"/>
      </w:pPr>
      <w:r>
        <w:t xml:space="preserve">This details how we intend to spend our pupil premium funding </w:t>
      </w:r>
      <w:r>
        <w:rPr>
          <w:b/>
        </w:rPr>
        <w:t>this academic year</w:t>
      </w:r>
      <w:r>
        <w:t xml:space="preserve"> to address the challenges listed above. </w:t>
      </w:r>
    </w:p>
    <w:p w14:paraId="3F4B9FD2" w14:textId="77777777" w:rsidR="009972EC" w:rsidRDefault="004F6FE1">
      <w:pPr>
        <w:pStyle w:val="Heading3"/>
        <w:ind w:left="-5"/>
      </w:pPr>
      <w:r>
        <w:t xml:space="preserve">Teaching (for example, CPD, recruitment and retention) </w:t>
      </w:r>
    </w:p>
    <w:tbl>
      <w:tblPr>
        <w:tblStyle w:val="TableGrid"/>
        <w:tblW w:w="9486" w:type="dxa"/>
        <w:tblInd w:w="7" w:type="dxa"/>
        <w:tblCellMar>
          <w:top w:w="67" w:type="dxa"/>
          <w:left w:w="108" w:type="dxa"/>
          <w:bottom w:w="8" w:type="dxa"/>
          <w:right w:w="40" w:type="dxa"/>
        </w:tblCellMar>
        <w:tblLook w:val="04A0" w:firstRow="1" w:lastRow="0" w:firstColumn="1" w:lastColumn="0" w:noHBand="0" w:noVBand="1"/>
      </w:tblPr>
      <w:tblGrid>
        <w:gridCol w:w="4020"/>
        <w:gridCol w:w="4051"/>
        <w:gridCol w:w="1415"/>
      </w:tblGrid>
      <w:tr w:rsidR="009972EC" w14:paraId="25401424" w14:textId="77777777" w:rsidTr="003E46D2">
        <w:trPr>
          <w:trHeight w:val="955"/>
        </w:trPr>
        <w:tc>
          <w:tcPr>
            <w:tcW w:w="4020"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33F17A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67" w:firstLine="0"/>
              <w:jc w:val="center"/>
            </w:pPr>
            <w:r>
              <w:rPr>
                <w:rFonts w:ascii="Arial" w:eastAsia="Arial" w:hAnsi="Arial" w:cs="Arial"/>
                <w:b/>
              </w:rPr>
              <w:t xml:space="preserve">Activity </w:t>
            </w:r>
          </w:p>
        </w:tc>
        <w:tc>
          <w:tcPr>
            <w:tcW w:w="4051"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367C204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rFonts w:ascii="Arial" w:eastAsia="Arial" w:hAnsi="Arial" w:cs="Arial"/>
                <w:b/>
              </w:rPr>
              <w:t xml:space="preserve">Evidence that supports this approach </w:t>
            </w:r>
          </w:p>
        </w:tc>
        <w:tc>
          <w:tcPr>
            <w:tcW w:w="1415" w:type="dxa"/>
            <w:tcBorders>
              <w:top w:val="single" w:sz="4" w:space="0" w:color="000000"/>
              <w:left w:val="single" w:sz="4" w:space="0" w:color="000000"/>
              <w:bottom w:val="single" w:sz="4" w:space="0" w:color="000000"/>
              <w:right w:val="single" w:sz="4" w:space="0" w:color="000000"/>
            </w:tcBorders>
            <w:shd w:val="clear" w:color="auto" w:fill="CCCCFF"/>
          </w:tcPr>
          <w:p w14:paraId="52EE911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rFonts w:ascii="Arial" w:eastAsia="Arial" w:hAnsi="Arial" w:cs="Arial"/>
                <w:b/>
              </w:rPr>
              <w:t xml:space="preserve">Challenge number(s) addressed </w:t>
            </w:r>
          </w:p>
        </w:tc>
      </w:tr>
    </w:tbl>
    <w:p w14:paraId="6EFAF1F0" w14:textId="77777777" w:rsidR="009972EC" w:rsidRDefault="009972EC">
      <w:pPr>
        <w:pBdr>
          <w:top w:val="none" w:sz="0" w:space="0" w:color="auto"/>
          <w:left w:val="none" w:sz="0" w:space="0" w:color="auto"/>
          <w:bottom w:val="none" w:sz="0" w:space="0" w:color="auto"/>
          <w:right w:val="none" w:sz="0" w:space="0" w:color="auto"/>
        </w:pBdr>
        <w:spacing w:after="0" w:line="259" w:lineRule="auto"/>
        <w:ind w:left="-1133" w:right="10557" w:firstLine="0"/>
      </w:pPr>
    </w:p>
    <w:tbl>
      <w:tblPr>
        <w:tblStyle w:val="TableGrid"/>
        <w:tblW w:w="9489" w:type="dxa"/>
        <w:tblInd w:w="5" w:type="dxa"/>
        <w:tblCellMar>
          <w:top w:w="49" w:type="dxa"/>
          <w:left w:w="110" w:type="dxa"/>
          <w:right w:w="11" w:type="dxa"/>
        </w:tblCellMar>
        <w:tblLook w:val="04A0" w:firstRow="1" w:lastRow="0" w:firstColumn="1" w:lastColumn="0" w:noHBand="0" w:noVBand="1"/>
      </w:tblPr>
      <w:tblGrid>
        <w:gridCol w:w="4020"/>
        <w:gridCol w:w="4050"/>
        <w:gridCol w:w="1419"/>
      </w:tblGrid>
      <w:tr w:rsidR="009972EC" w14:paraId="42E7B06A" w14:textId="77777777" w:rsidTr="003E46D2">
        <w:trPr>
          <w:trHeight w:val="2667"/>
        </w:trPr>
        <w:tc>
          <w:tcPr>
            <w:tcW w:w="4020" w:type="dxa"/>
            <w:tcBorders>
              <w:top w:val="single" w:sz="4" w:space="0" w:color="000000"/>
              <w:left w:val="single" w:sz="4" w:space="0" w:color="000000"/>
              <w:bottom w:val="single" w:sz="4" w:space="0" w:color="000000"/>
              <w:right w:val="single" w:sz="4" w:space="0" w:color="000000"/>
            </w:tcBorders>
          </w:tcPr>
          <w:p w14:paraId="5FCB8C7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Implementation of the “Disadvantaged </w:t>
            </w:r>
          </w:p>
          <w:p w14:paraId="1ED9A58D"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right="51" w:firstLine="0"/>
            </w:pPr>
            <w:r>
              <w:rPr>
                <w:sz w:val="22"/>
              </w:rPr>
              <w:t xml:space="preserve">First” Strategy to ensure all disadvantaged students academic attainment gap reduces. </w:t>
            </w:r>
          </w:p>
          <w:p w14:paraId="1EB0DBA8" w14:textId="77777777" w:rsidR="009972EC" w:rsidRDefault="004F6FE1">
            <w:pPr>
              <w:pBdr>
                <w:top w:val="none" w:sz="0" w:space="0" w:color="auto"/>
                <w:left w:val="none" w:sz="0" w:space="0" w:color="auto"/>
                <w:bottom w:val="none" w:sz="0" w:space="0" w:color="auto"/>
                <w:right w:val="none" w:sz="0" w:space="0" w:color="auto"/>
              </w:pBdr>
              <w:spacing w:after="61" w:line="238" w:lineRule="auto"/>
              <w:ind w:left="0" w:right="47" w:firstLine="0"/>
            </w:pPr>
            <w:r>
              <w:rPr>
                <w:sz w:val="22"/>
              </w:rPr>
              <w:t xml:space="preserve">The disadvantaged first strategy ensures that the disadvantaged students are at the forefront of teachers’ mind.  </w:t>
            </w:r>
          </w:p>
          <w:p w14:paraId="01E76FD0"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CPD on specific CPD linked to disadvantaged students.  </w:t>
            </w:r>
          </w:p>
        </w:tc>
        <w:tc>
          <w:tcPr>
            <w:tcW w:w="4050" w:type="dxa"/>
            <w:tcBorders>
              <w:top w:val="single" w:sz="4" w:space="0" w:color="000000"/>
              <w:left w:val="single" w:sz="4" w:space="0" w:color="000000"/>
              <w:bottom w:val="single" w:sz="4" w:space="0" w:color="000000"/>
              <w:right w:val="single" w:sz="4" w:space="0" w:color="000000"/>
            </w:tcBorders>
            <w:vAlign w:val="center"/>
          </w:tcPr>
          <w:p w14:paraId="26B91F62" w14:textId="77777777" w:rsidR="009972EC" w:rsidRDefault="004F6FE1">
            <w:pPr>
              <w:pBdr>
                <w:top w:val="none" w:sz="0" w:space="0" w:color="auto"/>
                <w:left w:val="none" w:sz="0" w:space="0" w:color="auto"/>
                <w:bottom w:val="none" w:sz="0" w:space="0" w:color="auto"/>
                <w:right w:val="none" w:sz="0" w:space="0" w:color="auto"/>
              </w:pBdr>
              <w:spacing w:after="57" w:line="239" w:lineRule="auto"/>
              <w:ind w:left="0" w:firstLine="0"/>
              <w:jc w:val="center"/>
            </w:pPr>
            <w:r>
              <w:rPr>
                <w:sz w:val="22"/>
              </w:rPr>
              <w:t xml:space="preserve">Effective professional EEF development guidance report recommends support for embedding of practice alongside initial modelling of practice. </w:t>
            </w:r>
          </w:p>
          <w:p w14:paraId="26F5BB83"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53" w:firstLine="0"/>
              <w:jc w:val="center"/>
            </w:pPr>
            <w:r>
              <w:rPr>
                <w:sz w:val="22"/>
              </w:rPr>
              <w:t xml:space="preserve"> </w:t>
            </w:r>
          </w:p>
          <w:p w14:paraId="3C2750F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5" w:firstLine="0"/>
              <w:jc w:val="center"/>
            </w:pPr>
            <w:hyperlink r:id="rId7">
              <w:r>
                <w:rPr>
                  <w:color w:val="0000FF"/>
                  <w:sz w:val="22"/>
                  <w:u w:val="single" w:color="0000FF"/>
                </w:rPr>
                <w:t>EEF Effective Professional Development</w:t>
              </w:r>
            </w:hyperlink>
            <w:hyperlink r:id="rId8">
              <w:r>
                <w:rPr>
                  <w:sz w:val="22"/>
                </w:rPr>
                <w:t xml:space="preserve"> </w:t>
              </w:r>
            </w:hyperlink>
          </w:p>
        </w:tc>
        <w:tc>
          <w:tcPr>
            <w:tcW w:w="1419" w:type="dxa"/>
            <w:tcBorders>
              <w:top w:val="single" w:sz="4" w:space="0" w:color="000000"/>
              <w:left w:val="single" w:sz="4" w:space="0" w:color="000000"/>
              <w:bottom w:val="single" w:sz="4" w:space="0" w:color="000000"/>
              <w:right w:val="single" w:sz="4" w:space="0" w:color="000000"/>
            </w:tcBorders>
            <w:vAlign w:val="center"/>
          </w:tcPr>
          <w:p w14:paraId="4B597B9A"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8" w:firstLine="0"/>
              <w:jc w:val="center"/>
            </w:pPr>
            <w:r>
              <w:rPr>
                <w:sz w:val="22"/>
              </w:rPr>
              <w:t xml:space="preserve">3 </w:t>
            </w:r>
          </w:p>
        </w:tc>
      </w:tr>
      <w:tr w:rsidR="009972EC" w14:paraId="37DD0ABF" w14:textId="77777777" w:rsidTr="003E46D2">
        <w:trPr>
          <w:trHeight w:val="1862"/>
        </w:trPr>
        <w:tc>
          <w:tcPr>
            <w:tcW w:w="4020" w:type="dxa"/>
            <w:tcBorders>
              <w:top w:val="single" w:sz="4" w:space="0" w:color="000000"/>
              <w:left w:val="single" w:sz="4" w:space="0" w:color="000000"/>
              <w:bottom w:val="single" w:sz="4" w:space="0" w:color="000000"/>
              <w:right w:val="single" w:sz="4" w:space="0" w:color="000000"/>
            </w:tcBorders>
            <w:vAlign w:val="center"/>
          </w:tcPr>
          <w:p w14:paraId="4D67BACF" w14:textId="24A620DD" w:rsidR="009972EC" w:rsidRDefault="004F6FE1">
            <w:pPr>
              <w:pBdr>
                <w:top w:val="none" w:sz="0" w:space="0" w:color="auto"/>
                <w:left w:val="none" w:sz="0" w:space="0" w:color="auto"/>
                <w:bottom w:val="none" w:sz="0" w:space="0" w:color="auto"/>
                <w:right w:val="none" w:sz="0" w:space="0" w:color="auto"/>
              </w:pBdr>
              <w:spacing w:after="0" w:line="239" w:lineRule="auto"/>
              <w:ind w:left="0" w:right="1" w:firstLine="0"/>
            </w:pPr>
            <w:r>
              <w:rPr>
                <w:sz w:val="22"/>
              </w:rPr>
              <w:t>Staff CPD on “Great Teaching @ SAX” based on Rosenshines principles in order to support our teachers to engage further in research and bridge the gap between research and classroom practice</w:t>
            </w:r>
            <w:r w:rsidR="003E46D2">
              <w:rPr>
                <w:sz w:val="22"/>
              </w:rPr>
              <w:t xml:space="preserve"> this will ensure consistency of approach, which research shows is most effective. </w:t>
            </w:r>
          </w:p>
          <w:p w14:paraId="1F766B0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(Learning communities.) </w:t>
            </w:r>
          </w:p>
        </w:tc>
        <w:tc>
          <w:tcPr>
            <w:tcW w:w="4050" w:type="dxa"/>
            <w:tcBorders>
              <w:top w:val="single" w:sz="4" w:space="0" w:color="000000"/>
              <w:left w:val="single" w:sz="4" w:space="0" w:color="000000"/>
              <w:bottom w:val="single" w:sz="4" w:space="0" w:color="000000"/>
              <w:right w:val="single" w:sz="4" w:space="0" w:color="000000"/>
            </w:tcBorders>
          </w:tcPr>
          <w:p w14:paraId="1CF568A7"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firstLine="0"/>
              <w:jc w:val="center"/>
            </w:pPr>
            <w:r>
              <w:rPr>
                <w:sz w:val="22"/>
              </w:rPr>
              <w:t xml:space="preserve">Effective professional EEF development guidance report recommends support for embedding of practice alongside initial modelling of practice. </w:t>
            </w:r>
          </w:p>
          <w:p w14:paraId="0DBC987A"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93" w:firstLine="0"/>
              <w:jc w:val="center"/>
            </w:pPr>
            <w:hyperlink r:id="rId9">
              <w:r>
                <w:rPr>
                  <w:color w:val="0000FF"/>
                  <w:sz w:val="22"/>
                  <w:u w:val="single" w:color="0000FF"/>
                </w:rPr>
                <w:t>EEF Effective Professional Development</w:t>
              </w:r>
            </w:hyperlink>
            <w:hyperlink r:id="rId10">
              <w:r>
                <w:rPr>
                  <w:sz w:val="22"/>
                </w:rPr>
                <w:t xml:space="preserve"> </w:t>
              </w:r>
            </w:hyperlink>
          </w:p>
          <w:p w14:paraId="1732309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8" w:firstLine="0"/>
              <w:jc w:val="center"/>
            </w:pPr>
            <w:hyperlink r:id="rId11">
              <w:r>
                <w:rPr>
                  <w:color w:val="0000FF"/>
                  <w:sz w:val="22"/>
                  <w:u w:val="single" w:color="0000FF"/>
                </w:rPr>
                <w:t>Teaching and Learning Toolkit | EEF</w:t>
              </w:r>
            </w:hyperlink>
            <w:hyperlink r:id="rId12">
              <w:r>
                <w:rPr>
                  <w:sz w:val="22"/>
                </w:rPr>
                <w:t xml:space="preserve"> </w:t>
              </w:r>
            </w:hyperlink>
          </w:p>
        </w:tc>
        <w:tc>
          <w:tcPr>
            <w:tcW w:w="1419" w:type="dxa"/>
            <w:tcBorders>
              <w:top w:val="single" w:sz="4" w:space="0" w:color="000000"/>
              <w:left w:val="single" w:sz="4" w:space="0" w:color="000000"/>
              <w:bottom w:val="single" w:sz="4" w:space="0" w:color="000000"/>
              <w:right w:val="single" w:sz="4" w:space="0" w:color="000000"/>
            </w:tcBorders>
            <w:vAlign w:val="center"/>
          </w:tcPr>
          <w:p w14:paraId="7B7E505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8" w:firstLine="0"/>
              <w:jc w:val="center"/>
            </w:pPr>
            <w:r>
              <w:rPr>
                <w:sz w:val="22"/>
              </w:rPr>
              <w:t xml:space="preserve">3 </w:t>
            </w:r>
          </w:p>
        </w:tc>
      </w:tr>
      <w:tr w:rsidR="009972EC" w14:paraId="3F64E727" w14:textId="77777777" w:rsidTr="003E46D2">
        <w:trPr>
          <w:trHeight w:val="1861"/>
        </w:trPr>
        <w:tc>
          <w:tcPr>
            <w:tcW w:w="4020" w:type="dxa"/>
            <w:tcBorders>
              <w:top w:val="single" w:sz="4" w:space="0" w:color="000000"/>
              <w:left w:val="single" w:sz="4" w:space="0" w:color="000000"/>
              <w:bottom w:val="single" w:sz="4" w:space="0" w:color="000000"/>
              <w:right w:val="single" w:sz="4" w:space="0" w:color="000000"/>
            </w:tcBorders>
            <w:vAlign w:val="center"/>
          </w:tcPr>
          <w:p w14:paraId="35F22604" w14:textId="77777777" w:rsidR="009972EC" w:rsidRDefault="004F6FE1">
            <w:pPr>
              <w:pBdr>
                <w:top w:val="none" w:sz="0" w:space="0" w:color="auto"/>
                <w:left w:val="none" w:sz="0" w:space="0" w:color="auto"/>
                <w:bottom w:val="none" w:sz="0" w:space="0" w:color="auto"/>
                <w:right w:val="none" w:sz="0" w:space="0" w:color="auto"/>
              </w:pBdr>
              <w:spacing w:after="61" w:line="239" w:lineRule="auto"/>
              <w:ind w:left="58" w:right="123" w:firstLine="0"/>
            </w:pPr>
            <w:r>
              <w:rPr>
                <w:sz w:val="22"/>
              </w:rPr>
              <w:t>Bespoke in house training for ECTs (Early Career teachers) in addition to statutory support from Ambition and Subject Mentor.</w:t>
            </w:r>
            <w:r>
              <w:rPr>
                <w:i/>
                <w:sz w:val="22"/>
              </w:rPr>
              <w:t xml:space="preserve"> </w:t>
            </w:r>
          </w:p>
          <w:p w14:paraId="25A93F1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58" w:right="78" w:firstLine="0"/>
            </w:pPr>
            <w:r>
              <w:rPr>
                <w:sz w:val="22"/>
              </w:rPr>
              <w:t xml:space="preserve">To further support Quality First Teaching.  </w:t>
            </w:r>
            <w:r>
              <w:rPr>
                <w:i/>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68E74FAB" w14:textId="77777777" w:rsidR="009972EC" w:rsidRDefault="004F6FE1">
            <w:pPr>
              <w:pBdr>
                <w:top w:val="none" w:sz="0" w:space="0" w:color="auto"/>
                <w:left w:val="none" w:sz="0" w:space="0" w:color="auto"/>
                <w:bottom w:val="none" w:sz="0" w:space="0" w:color="auto"/>
                <w:right w:val="none" w:sz="0" w:space="0" w:color="auto"/>
              </w:pBdr>
              <w:spacing w:after="61" w:line="239" w:lineRule="auto"/>
              <w:ind w:left="0" w:firstLine="0"/>
              <w:jc w:val="center"/>
            </w:pPr>
            <w:r>
              <w:rPr>
                <w:sz w:val="22"/>
              </w:rPr>
              <w:t xml:space="preserve">Effective professional EEF development guidance report recommends support for embedding of practice alongside initial modelling of practice. </w:t>
            </w:r>
          </w:p>
          <w:p w14:paraId="0CE830EF"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53" w:firstLine="0"/>
              <w:jc w:val="center"/>
            </w:pPr>
            <w:r>
              <w:rPr>
                <w:sz w:val="22"/>
              </w:rPr>
              <w:t xml:space="preserve"> </w:t>
            </w:r>
          </w:p>
          <w:p w14:paraId="42AA042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5" w:firstLine="0"/>
              <w:jc w:val="center"/>
            </w:pPr>
            <w:hyperlink r:id="rId13">
              <w:r>
                <w:rPr>
                  <w:color w:val="0000FF"/>
                  <w:sz w:val="22"/>
                  <w:u w:val="single" w:color="0000FF"/>
                </w:rPr>
                <w:t>EEF Effective Professional Development</w:t>
              </w:r>
            </w:hyperlink>
            <w:hyperlink r:id="rId14">
              <w:r>
                <w:rPr>
                  <w:sz w:val="22"/>
                </w:rPr>
                <w:t xml:space="preserve"> </w:t>
              </w:r>
            </w:hyperlink>
          </w:p>
        </w:tc>
        <w:tc>
          <w:tcPr>
            <w:tcW w:w="1419" w:type="dxa"/>
            <w:tcBorders>
              <w:top w:val="single" w:sz="4" w:space="0" w:color="000000"/>
              <w:left w:val="single" w:sz="4" w:space="0" w:color="000000"/>
              <w:bottom w:val="single" w:sz="4" w:space="0" w:color="000000"/>
              <w:right w:val="single" w:sz="4" w:space="0" w:color="000000"/>
            </w:tcBorders>
            <w:vAlign w:val="center"/>
          </w:tcPr>
          <w:p w14:paraId="0F6F643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98" w:firstLine="0"/>
              <w:jc w:val="center"/>
            </w:pPr>
            <w:r>
              <w:rPr>
                <w:sz w:val="22"/>
              </w:rPr>
              <w:t xml:space="preserve">3 </w:t>
            </w:r>
          </w:p>
        </w:tc>
      </w:tr>
      <w:tr w:rsidR="009972EC" w14:paraId="080E04D1" w14:textId="77777777" w:rsidTr="003E46D2">
        <w:trPr>
          <w:trHeight w:val="2192"/>
        </w:trPr>
        <w:tc>
          <w:tcPr>
            <w:tcW w:w="4020" w:type="dxa"/>
            <w:tcBorders>
              <w:top w:val="single" w:sz="4" w:space="0" w:color="000000"/>
              <w:left w:val="single" w:sz="4" w:space="0" w:color="000000"/>
              <w:bottom w:val="single" w:sz="4" w:space="0" w:color="000000"/>
              <w:right w:val="single" w:sz="4" w:space="0" w:color="000000"/>
            </w:tcBorders>
            <w:vAlign w:val="center"/>
          </w:tcPr>
          <w:p w14:paraId="1D04941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70" w:firstLine="0"/>
            </w:pPr>
            <w:r>
              <w:rPr>
                <w:color w:val="000000"/>
                <w:sz w:val="22"/>
              </w:rPr>
              <w:lastRenderedPageBreak/>
              <w:t xml:space="preserve">Ensure that all students have access to the full range of options subjects and that disadvantaged students receive 1:1 guidance and support throughout the options process to ensure that they are selecting the correct students to allow to progress on an appropriate post-16 route.  </w:t>
            </w:r>
            <w:r>
              <w:rPr>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53B216CA"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‘High ability disadvantaged students are less likely to take GCSEs in History, </w:t>
            </w:r>
          </w:p>
          <w:p w14:paraId="72211474"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firstLine="0"/>
              <w:jc w:val="center"/>
            </w:pPr>
            <w:r>
              <w:rPr>
                <w:sz w:val="22"/>
              </w:rPr>
              <w:t xml:space="preserve">Geography, Triple Science and Languages than non-disadvantaged students.’  </w:t>
            </w:r>
          </w:p>
          <w:p w14:paraId="7A1A9482"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53" w:firstLine="0"/>
              <w:jc w:val="center"/>
            </w:pPr>
            <w:r>
              <w:rPr>
                <w:sz w:val="22"/>
              </w:rPr>
              <w:t xml:space="preserve"> </w:t>
            </w:r>
          </w:p>
          <w:p w14:paraId="68C02E7E"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96" w:firstLine="0"/>
              <w:jc w:val="center"/>
            </w:pPr>
            <w:hyperlink r:id="rId15">
              <w:r>
                <w:rPr>
                  <w:color w:val="0000FF"/>
                  <w:sz w:val="22"/>
                  <w:u w:val="single" w:color="0000FF"/>
                </w:rPr>
                <w:t>The Sutton Trust Press Release</w:t>
              </w:r>
            </w:hyperlink>
            <w:hyperlink r:id="rId16">
              <w:r>
                <w:rPr>
                  <w:sz w:val="22"/>
                </w:rPr>
                <w:t xml:space="preserve"> </w:t>
              </w:r>
            </w:hyperlink>
          </w:p>
          <w:p w14:paraId="2FC48DF0"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53" w:firstLine="0"/>
              <w:jc w:val="center"/>
            </w:pPr>
            <w:r>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2285F4D3" w14:textId="15075A7F" w:rsidR="009972EC" w:rsidRDefault="00F027D4">
            <w:pPr>
              <w:pBdr>
                <w:top w:val="none" w:sz="0" w:space="0" w:color="auto"/>
                <w:left w:val="none" w:sz="0" w:space="0" w:color="auto"/>
                <w:bottom w:val="none" w:sz="0" w:space="0" w:color="auto"/>
                <w:right w:val="none" w:sz="0" w:space="0" w:color="auto"/>
              </w:pBdr>
              <w:spacing w:after="0" w:line="259" w:lineRule="auto"/>
              <w:ind w:left="0" w:right="97" w:firstLine="0"/>
              <w:jc w:val="center"/>
            </w:pPr>
            <w:r>
              <w:rPr>
                <w:sz w:val="22"/>
              </w:rPr>
              <w:t>5</w:t>
            </w:r>
            <w:r w:rsidR="004F6FE1">
              <w:rPr>
                <w:sz w:val="22"/>
              </w:rPr>
              <w:t xml:space="preserve"> </w:t>
            </w:r>
          </w:p>
        </w:tc>
      </w:tr>
      <w:tr w:rsidR="009972EC" w14:paraId="51866AF6" w14:textId="77777777" w:rsidTr="003E46D2">
        <w:trPr>
          <w:trHeight w:val="607"/>
        </w:trPr>
        <w:tc>
          <w:tcPr>
            <w:tcW w:w="4020" w:type="dxa"/>
            <w:tcBorders>
              <w:top w:val="single" w:sz="4" w:space="0" w:color="000000"/>
              <w:left w:val="single" w:sz="4" w:space="0" w:color="000000"/>
              <w:bottom w:val="single" w:sz="4" w:space="0" w:color="000000"/>
              <w:right w:val="single" w:sz="4" w:space="0" w:color="000000"/>
            </w:tcBorders>
          </w:tcPr>
          <w:p w14:paraId="1CDB885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 w:firstLine="0"/>
            </w:pPr>
            <w:r>
              <w:rPr>
                <w:sz w:val="22"/>
              </w:rPr>
              <w:t xml:space="preserve">Focussed deployment of assistant teachers in core subjects (Mathematics, </w:t>
            </w:r>
          </w:p>
        </w:tc>
        <w:tc>
          <w:tcPr>
            <w:tcW w:w="4050" w:type="dxa"/>
            <w:tcBorders>
              <w:top w:val="single" w:sz="4" w:space="0" w:color="000000"/>
              <w:left w:val="single" w:sz="4" w:space="0" w:color="000000"/>
              <w:bottom w:val="single" w:sz="4" w:space="0" w:color="000000"/>
              <w:right w:val="single" w:sz="4" w:space="0" w:color="000000"/>
            </w:tcBorders>
          </w:tcPr>
          <w:p w14:paraId="2D093C5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 xml:space="preserve">The average impact of the deployment of teaching assistants is about an additional </w:t>
            </w:r>
          </w:p>
        </w:tc>
        <w:tc>
          <w:tcPr>
            <w:tcW w:w="1419" w:type="dxa"/>
            <w:tcBorders>
              <w:top w:val="single" w:sz="4" w:space="0" w:color="000000"/>
              <w:left w:val="single" w:sz="4" w:space="0" w:color="000000"/>
              <w:bottom w:val="single" w:sz="4" w:space="0" w:color="000000"/>
              <w:right w:val="single" w:sz="4" w:space="0" w:color="000000"/>
            </w:tcBorders>
            <w:vAlign w:val="center"/>
          </w:tcPr>
          <w:p w14:paraId="565D39F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100" w:firstLine="0"/>
              <w:jc w:val="center"/>
            </w:pPr>
            <w:r>
              <w:rPr>
                <w:sz w:val="22"/>
              </w:rPr>
              <w:t xml:space="preserve">2, 3 </w:t>
            </w:r>
          </w:p>
        </w:tc>
      </w:tr>
      <w:tr w:rsidR="009972EC" w14:paraId="35FCCB0C" w14:textId="77777777" w:rsidTr="003E46D2">
        <w:trPr>
          <w:trHeight w:val="2012"/>
        </w:trPr>
        <w:tc>
          <w:tcPr>
            <w:tcW w:w="4020" w:type="dxa"/>
            <w:tcBorders>
              <w:top w:val="single" w:sz="4" w:space="0" w:color="000000"/>
              <w:left w:val="single" w:sz="4" w:space="0" w:color="000000"/>
              <w:bottom w:val="single" w:sz="4" w:space="0" w:color="000000"/>
              <w:right w:val="single" w:sz="4" w:space="0" w:color="000000"/>
            </w:tcBorders>
          </w:tcPr>
          <w:p w14:paraId="2CC24738" w14:textId="77777777" w:rsidR="009972EC" w:rsidRPr="003E46D2" w:rsidRDefault="004F6FE1">
            <w:pPr>
              <w:pBdr>
                <w:top w:val="none" w:sz="0" w:space="0" w:color="auto"/>
                <w:left w:val="none" w:sz="0" w:space="0" w:color="auto"/>
                <w:bottom w:val="none" w:sz="0" w:space="0" w:color="auto"/>
                <w:right w:val="none" w:sz="0" w:space="0" w:color="auto"/>
              </w:pBdr>
              <w:spacing w:after="61" w:line="239" w:lineRule="auto"/>
              <w:ind w:left="0" w:firstLine="0"/>
              <w:rPr>
                <w:sz w:val="22"/>
              </w:rPr>
            </w:pPr>
            <w:r w:rsidRPr="003E46D2">
              <w:rPr>
                <w:sz w:val="22"/>
              </w:rPr>
              <w:t xml:space="preserve">English and Science) to improve the attainments of disadvantaged students in core subjects. Assistant teachers given additional training on how to effectively support students. </w:t>
            </w:r>
          </w:p>
          <w:p w14:paraId="15BB824E" w14:textId="77777777" w:rsidR="009972EC" w:rsidRPr="003E46D2" w:rsidRDefault="004F6FE1">
            <w:pPr>
              <w:pBdr>
                <w:top w:val="none" w:sz="0" w:space="0" w:color="auto"/>
                <w:left w:val="none" w:sz="0" w:space="0" w:color="auto"/>
                <w:bottom w:val="none" w:sz="0" w:space="0" w:color="auto"/>
                <w:right w:val="none" w:sz="0" w:space="0" w:color="auto"/>
              </w:pBdr>
              <w:spacing w:after="0" w:line="259" w:lineRule="auto"/>
              <w:ind w:left="0" w:firstLine="0"/>
              <w:rPr>
                <w:color w:val="FF0000"/>
                <w:sz w:val="22"/>
              </w:rPr>
            </w:pPr>
            <w:r w:rsidRPr="003E46D2">
              <w:rPr>
                <w:sz w:val="22"/>
              </w:rPr>
              <w:t>Teachers given additional training of the use of assistant teachers.</w:t>
            </w:r>
            <w:r w:rsidRPr="003E46D2">
              <w:rPr>
                <w:color w:val="FF0000"/>
                <w:sz w:val="22"/>
              </w:rPr>
              <w:t xml:space="preserve"> </w:t>
            </w:r>
          </w:p>
          <w:p w14:paraId="3432FFBE" w14:textId="65267D3B" w:rsidR="003E46D2" w:rsidRDefault="003E46D2">
            <w:pPr>
              <w:pBdr>
                <w:top w:val="none" w:sz="0" w:space="0" w:color="auto"/>
                <w:left w:val="none" w:sz="0" w:space="0" w:color="auto"/>
                <w:bottom w:val="none" w:sz="0" w:space="0" w:color="auto"/>
                <w:right w:val="none" w:sz="0" w:space="0" w:color="auto"/>
              </w:pBdr>
              <w:spacing w:after="0" w:line="259" w:lineRule="auto"/>
              <w:ind w:left="0" w:firstLine="0"/>
            </w:pPr>
            <w:r w:rsidRPr="003E46D2">
              <w:rPr>
                <w:sz w:val="22"/>
              </w:rPr>
              <w:t>Tutor time intervention with use of targeted tutor group for PP boys in year 11</w:t>
            </w:r>
          </w:p>
        </w:tc>
        <w:tc>
          <w:tcPr>
            <w:tcW w:w="4050" w:type="dxa"/>
            <w:tcBorders>
              <w:top w:val="single" w:sz="4" w:space="0" w:color="000000"/>
              <w:left w:val="single" w:sz="4" w:space="0" w:color="000000"/>
              <w:bottom w:val="single" w:sz="4" w:space="0" w:color="000000"/>
              <w:right w:val="single" w:sz="4" w:space="0" w:color="000000"/>
            </w:tcBorders>
          </w:tcPr>
          <w:p w14:paraId="2389F20B" w14:textId="77777777" w:rsidR="009972EC" w:rsidRDefault="004F6FE1">
            <w:pPr>
              <w:pBdr>
                <w:top w:val="none" w:sz="0" w:space="0" w:color="auto"/>
                <w:left w:val="none" w:sz="0" w:space="0" w:color="auto"/>
                <w:bottom w:val="none" w:sz="0" w:space="0" w:color="auto"/>
                <w:right w:val="none" w:sz="0" w:space="0" w:color="auto"/>
              </w:pBdr>
              <w:spacing w:after="57" w:line="240" w:lineRule="auto"/>
              <w:ind w:left="0" w:firstLine="0"/>
              <w:jc w:val="center"/>
            </w:pPr>
            <w:r>
              <w:rPr>
                <w:sz w:val="22"/>
              </w:rPr>
              <w:t xml:space="preserve">four months’ progress over the course of a year when deployed effectively. </w:t>
            </w:r>
          </w:p>
          <w:p w14:paraId="7E17578D"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9" w:firstLine="0"/>
              <w:jc w:val="center"/>
            </w:pPr>
            <w:r>
              <w:rPr>
                <w:sz w:val="22"/>
              </w:rPr>
              <w:t xml:space="preserve"> </w:t>
            </w:r>
          </w:p>
          <w:p w14:paraId="6086A7F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2" w:firstLine="0"/>
              <w:jc w:val="center"/>
            </w:pPr>
            <w:hyperlink r:id="rId17">
              <w:r>
                <w:rPr>
                  <w:color w:val="0000FF"/>
                  <w:sz w:val="22"/>
                  <w:u w:val="single" w:color="0000FF"/>
                </w:rPr>
                <w:t>EEF Teaching Assistant Interventions</w:t>
              </w:r>
            </w:hyperlink>
            <w:hyperlink r:id="rId18">
              <w:r>
                <w:rPr>
                  <w:sz w:val="22"/>
                </w:rPr>
                <w:t xml:space="preserve"> </w:t>
              </w:r>
            </w:hyperlink>
          </w:p>
        </w:tc>
        <w:tc>
          <w:tcPr>
            <w:tcW w:w="1419" w:type="dxa"/>
            <w:tcBorders>
              <w:top w:val="single" w:sz="4" w:space="0" w:color="000000"/>
              <w:left w:val="single" w:sz="4" w:space="0" w:color="000000"/>
              <w:bottom w:val="single" w:sz="4" w:space="0" w:color="000000"/>
              <w:right w:val="single" w:sz="4" w:space="0" w:color="000000"/>
            </w:tcBorders>
          </w:tcPr>
          <w:p w14:paraId="28E6B6BA" w14:textId="77777777" w:rsidR="009972EC" w:rsidRDefault="009972EC">
            <w:pPr>
              <w:spacing w:after="160" w:line="259" w:lineRule="auto"/>
              <w:ind w:left="0" w:firstLine="0"/>
            </w:pPr>
          </w:p>
        </w:tc>
      </w:tr>
      <w:tr w:rsidR="009972EC" w14:paraId="3F1210A7" w14:textId="77777777" w:rsidTr="003E46D2">
        <w:trPr>
          <w:trHeight w:val="2398"/>
        </w:trPr>
        <w:tc>
          <w:tcPr>
            <w:tcW w:w="4020" w:type="dxa"/>
            <w:tcBorders>
              <w:top w:val="single" w:sz="4" w:space="0" w:color="000000"/>
              <w:left w:val="single" w:sz="4" w:space="0" w:color="000000"/>
              <w:bottom w:val="single" w:sz="4" w:space="0" w:color="000000"/>
              <w:right w:val="single" w:sz="4" w:space="0" w:color="000000"/>
            </w:tcBorders>
            <w:vAlign w:val="center"/>
          </w:tcPr>
          <w:p w14:paraId="3E065E2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Student Wellbeing and Personal </w:t>
            </w:r>
          </w:p>
          <w:p w14:paraId="1556F35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Development Champions appointed to ensure opportunities for cultural capital.</w:t>
            </w:r>
            <w:r>
              <w:rPr>
                <w:color w:val="FF0000"/>
                <w:sz w:val="22"/>
              </w:rP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43C2C732"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Cultural capital is a key element in early years education, essential for helping </w:t>
            </w:r>
          </w:p>
          <w:p w14:paraId="22609A8A"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children succeed in the future. It's about providing children with diverse </w:t>
            </w:r>
          </w:p>
          <w:p w14:paraId="6F155DA5" w14:textId="77777777" w:rsidR="009972EC" w:rsidRDefault="004F6FE1">
            <w:pPr>
              <w:pBdr>
                <w:top w:val="none" w:sz="0" w:space="0" w:color="auto"/>
                <w:left w:val="none" w:sz="0" w:space="0" w:color="auto"/>
                <w:bottom w:val="none" w:sz="0" w:space="0" w:color="auto"/>
                <w:right w:val="none" w:sz="0" w:space="0" w:color="auto"/>
              </w:pBdr>
              <w:spacing w:after="59" w:line="240" w:lineRule="auto"/>
              <w:ind w:left="0" w:firstLine="0"/>
              <w:jc w:val="center"/>
            </w:pPr>
            <w:r>
              <w:rPr>
                <w:sz w:val="22"/>
              </w:rPr>
              <w:t xml:space="preserve">experiences and knowledge that enrich their learning and development. </w:t>
            </w:r>
          </w:p>
          <w:p w14:paraId="21B68804" w14:textId="77777777" w:rsidR="009972EC" w:rsidRDefault="004F6FE1">
            <w:pPr>
              <w:pBdr>
                <w:top w:val="none" w:sz="0" w:space="0" w:color="auto"/>
                <w:left w:val="none" w:sz="0" w:space="0" w:color="auto"/>
                <w:bottom w:val="none" w:sz="0" w:space="0" w:color="auto"/>
                <w:right w:val="none" w:sz="0" w:space="0" w:color="auto"/>
              </w:pBdr>
              <w:spacing w:after="35" w:line="259" w:lineRule="auto"/>
              <w:ind w:left="9" w:firstLine="0"/>
              <w:jc w:val="center"/>
            </w:pPr>
            <w:r>
              <w:rPr>
                <w:sz w:val="22"/>
              </w:rPr>
              <w:t xml:space="preserve"> </w:t>
            </w:r>
          </w:p>
          <w:p w14:paraId="728CCBB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7" w:firstLine="0"/>
              <w:jc w:val="center"/>
            </w:pPr>
            <w:hyperlink r:id="rId19">
              <w:r>
                <w:rPr>
                  <w:color w:val="0000FF"/>
                  <w:sz w:val="22"/>
                  <w:u w:val="single" w:color="0000FF"/>
                </w:rPr>
                <w:t>EEF Learning About Culture</w:t>
              </w:r>
            </w:hyperlink>
            <w:hyperlink r:id="rId20">
              <w:r>
                <w:rPr>
                  <w:sz w:val="22"/>
                </w:rPr>
                <w:t xml:space="preserve"> </w:t>
              </w:r>
            </w:hyperlink>
          </w:p>
        </w:tc>
        <w:tc>
          <w:tcPr>
            <w:tcW w:w="1419" w:type="dxa"/>
            <w:tcBorders>
              <w:top w:val="single" w:sz="4" w:space="0" w:color="000000"/>
              <w:left w:val="single" w:sz="4" w:space="0" w:color="000000"/>
              <w:bottom w:val="single" w:sz="4" w:space="0" w:color="000000"/>
              <w:right w:val="single" w:sz="4" w:space="0" w:color="000000"/>
            </w:tcBorders>
            <w:vAlign w:val="center"/>
          </w:tcPr>
          <w:p w14:paraId="1E6FB8D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7" w:firstLine="0"/>
              <w:jc w:val="center"/>
            </w:pPr>
            <w:r>
              <w:rPr>
                <w:sz w:val="22"/>
              </w:rPr>
              <w:t xml:space="preserve">1 </w:t>
            </w:r>
          </w:p>
        </w:tc>
      </w:tr>
      <w:tr w:rsidR="009972EC" w14:paraId="351DC7CA" w14:textId="77777777" w:rsidTr="003E46D2">
        <w:trPr>
          <w:trHeight w:val="3087"/>
        </w:trPr>
        <w:tc>
          <w:tcPr>
            <w:tcW w:w="4020" w:type="dxa"/>
            <w:tcBorders>
              <w:top w:val="single" w:sz="4" w:space="0" w:color="000000"/>
              <w:left w:val="single" w:sz="4" w:space="0" w:color="000000"/>
              <w:bottom w:val="single" w:sz="4" w:space="0" w:color="000000"/>
              <w:right w:val="single" w:sz="4" w:space="0" w:color="000000"/>
            </w:tcBorders>
            <w:vAlign w:val="center"/>
          </w:tcPr>
          <w:p w14:paraId="3315B1A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Fixed KS3 progress and achievement leader who has extended visits to all primary feeder schools to support the transition of disadvantaged students. </w:t>
            </w:r>
          </w:p>
        </w:tc>
        <w:tc>
          <w:tcPr>
            <w:tcW w:w="4050" w:type="dxa"/>
            <w:tcBorders>
              <w:top w:val="single" w:sz="4" w:space="0" w:color="000000"/>
              <w:left w:val="single" w:sz="4" w:space="0" w:color="000000"/>
              <w:bottom w:val="single" w:sz="4" w:space="0" w:color="000000"/>
              <w:right w:val="single" w:sz="4" w:space="0" w:color="000000"/>
            </w:tcBorders>
          </w:tcPr>
          <w:p w14:paraId="624C5AF5"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 schools boost the self-esteem, aspirations and work ethic of more </w:t>
            </w:r>
          </w:p>
          <w:p w14:paraId="264A514E"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vulnerable children, many of whom are on Free School Meals’ Linsell (2012). </w:t>
            </w:r>
          </w:p>
          <w:p w14:paraId="0C1DF12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5" w:firstLine="0"/>
              <w:jc w:val="center"/>
            </w:pPr>
            <w:r>
              <w:rPr>
                <w:sz w:val="22"/>
              </w:rPr>
              <w:t xml:space="preserve">Alexander et al (2007) highlighted, </w:t>
            </w:r>
          </w:p>
          <w:p w14:paraId="73BA555D"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28" w:hanging="28"/>
              <w:jc w:val="center"/>
            </w:pPr>
            <w:r>
              <w:rPr>
                <w:sz w:val="22"/>
              </w:rPr>
              <w:t xml:space="preserve">‘students lose a month’s learning over the summer break. And while this “summer slide” is likely to affect most students, it was estimated as being three times as severe for students from disadvantaged </w:t>
            </w:r>
          </w:p>
          <w:p w14:paraId="4E69C0F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5" w:firstLine="0"/>
              <w:jc w:val="center"/>
            </w:pPr>
            <w:r>
              <w:rPr>
                <w:sz w:val="22"/>
              </w:rPr>
              <w:t xml:space="preserve">families.’ </w:t>
            </w:r>
          </w:p>
        </w:tc>
        <w:tc>
          <w:tcPr>
            <w:tcW w:w="1419" w:type="dxa"/>
            <w:tcBorders>
              <w:top w:val="single" w:sz="4" w:space="0" w:color="000000"/>
              <w:left w:val="single" w:sz="4" w:space="0" w:color="000000"/>
              <w:bottom w:val="single" w:sz="4" w:space="0" w:color="000000"/>
              <w:right w:val="single" w:sz="4" w:space="0" w:color="000000"/>
            </w:tcBorders>
            <w:vAlign w:val="center"/>
          </w:tcPr>
          <w:p w14:paraId="4A1C275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8" w:firstLine="0"/>
              <w:jc w:val="center"/>
            </w:pPr>
            <w:r>
              <w:rPr>
                <w:sz w:val="22"/>
              </w:rPr>
              <w:t xml:space="preserve">2 </w:t>
            </w:r>
          </w:p>
        </w:tc>
      </w:tr>
    </w:tbl>
    <w:p w14:paraId="5286570A" w14:textId="77777777" w:rsidR="009972EC" w:rsidRDefault="004F6FE1">
      <w:pPr>
        <w:pBdr>
          <w:top w:val="none" w:sz="0" w:space="0" w:color="auto"/>
          <w:left w:val="none" w:sz="0" w:space="0" w:color="auto"/>
          <w:bottom w:val="none" w:sz="0" w:space="0" w:color="auto"/>
          <w:right w:val="none" w:sz="0" w:space="0" w:color="auto"/>
        </w:pBdr>
        <w:spacing w:after="436" w:line="259" w:lineRule="auto"/>
        <w:ind w:left="0" w:firstLine="0"/>
        <w:rPr>
          <w:rFonts w:ascii="Arial" w:eastAsia="Arial" w:hAnsi="Arial" w:cs="Arial"/>
        </w:rPr>
      </w:pPr>
      <w:r>
        <w:rPr>
          <w:rFonts w:ascii="Arial" w:eastAsia="Arial" w:hAnsi="Arial" w:cs="Arial"/>
        </w:rPr>
        <w:t xml:space="preserve"> </w:t>
      </w:r>
    </w:p>
    <w:p w14:paraId="56AE793B" w14:textId="77777777" w:rsidR="008803A8" w:rsidRDefault="008803A8">
      <w:pPr>
        <w:pBdr>
          <w:top w:val="none" w:sz="0" w:space="0" w:color="auto"/>
          <w:left w:val="none" w:sz="0" w:space="0" w:color="auto"/>
          <w:bottom w:val="none" w:sz="0" w:space="0" w:color="auto"/>
          <w:right w:val="none" w:sz="0" w:space="0" w:color="auto"/>
        </w:pBdr>
        <w:spacing w:after="436" w:line="259" w:lineRule="auto"/>
        <w:ind w:left="0" w:firstLine="0"/>
        <w:rPr>
          <w:rFonts w:ascii="Arial" w:eastAsia="Arial" w:hAnsi="Arial" w:cs="Arial"/>
        </w:rPr>
      </w:pPr>
    </w:p>
    <w:p w14:paraId="4E9F27F7" w14:textId="77777777" w:rsidR="008803A8" w:rsidRDefault="008803A8">
      <w:pPr>
        <w:pBdr>
          <w:top w:val="none" w:sz="0" w:space="0" w:color="auto"/>
          <w:left w:val="none" w:sz="0" w:space="0" w:color="auto"/>
          <w:bottom w:val="none" w:sz="0" w:space="0" w:color="auto"/>
          <w:right w:val="none" w:sz="0" w:space="0" w:color="auto"/>
        </w:pBdr>
        <w:spacing w:after="436" w:line="259" w:lineRule="auto"/>
        <w:ind w:left="0" w:firstLine="0"/>
        <w:rPr>
          <w:rFonts w:ascii="Arial" w:eastAsia="Arial" w:hAnsi="Arial" w:cs="Arial"/>
        </w:rPr>
      </w:pPr>
    </w:p>
    <w:p w14:paraId="36E599AD" w14:textId="77777777" w:rsidR="008803A8" w:rsidRDefault="008803A8">
      <w:pPr>
        <w:pBdr>
          <w:top w:val="none" w:sz="0" w:space="0" w:color="auto"/>
          <w:left w:val="none" w:sz="0" w:space="0" w:color="auto"/>
          <w:bottom w:val="none" w:sz="0" w:space="0" w:color="auto"/>
          <w:right w:val="none" w:sz="0" w:space="0" w:color="auto"/>
        </w:pBdr>
        <w:spacing w:after="436" w:line="259" w:lineRule="auto"/>
        <w:ind w:left="0" w:firstLine="0"/>
      </w:pPr>
    </w:p>
    <w:p w14:paraId="06C5FF7D" w14:textId="77777777" w:rsidR="009972EC" w:rsidRDefault="004F6FE1">
      <w:pPr>
        <w:pStyle w:val="Heading3"/>
        <w:ind w:left="-5"/>
      </w:pPr>
      <w:r>
        <w:lastRenderedPageBreak/>
        <w:t xml:space="preserve">Targeted academic support (for example, tutoring, one-to-one support, structured interventions)  </w:t>
      </w:r>
    </w:p>
    <w:tbl>
      <w:tblPr>
        <w:tblStyle w:val="TableGrid"/>
        <w:tblW w:w="9486" w:type="dxa"/>
        <w:tblInd w:w="7" w:type="dxa"/>
        <w:tblCellMar>
          <w:top w:w="108" w:type="dxa"/>
          <w:left w:w="118" w:type="dxa"/>
          <w:right w:w="75" w:type="dxa"/>
        </w:tblCellMar>
        <w:tblLook w:val="04A0" w:firstRow="1" w:lastRow="0" w:firstColumn="1" w:lastColumn="0" w:noHBand="0" w:noVBand="1"/>
      </w:tblPr>
      <w:tblGrid>
        <w:gridCol w:w="3964"/>
        <w:gridCol w:w="4112"/>
        <w:gridCol w:w="1410"/>
      </w:tblGrid>
      <w:tr w:rsidR="009972EC" w14:paraId="3F493FBA" w14:textId="77777777" w:rsidTr="008803A8">
        <w:trPr>
          <w:trHeight w:val="1009"/>
        </w:trPr>
        <w:tc>
          <w:tcPr>
            <w:tcW w:w="3964"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74E7249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0" w:firstLine="0"/>
              <w:jc w:val="center"/>
            </w:pPr>
            <w:r>
              <w:rPr>
                <w:b/>
              </w:rPr>
              <w:t xml:space="preserve">Activity </w:t>
            </w:r>
          </w:p>
        </w:tc>
        <w:tc>
          <w:tcPr>
            <w:tcW w:w="4112"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6274A2CE"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22" w:firstLine="0"/>
            </w:pPr>
            <w:r>
              <w:rPr>
                <w:b/>
              </w:rPr>
              <w:t xml:space="preserve">Evidence that supports this approach </w:t>
            </w:r>
          </w:p>
        </w:tc>
        <w:tc>
          <w:tcPr>
            <w:tcW w:w="1410" w:type="dxa"/>
            <w:tcBorders>
              <w:top w:val="single" w:sz="4" w:space="0" w:color="000000"/>
              <w:left w:val="single" w:sz="4" w:space="0" w:color="000000"/>
              <w:bottom w:val="single" w:sz="4" w:space="0" w:color="000000"/>
              <w:right w:val="single" w:sz="4" w:space="0" w:color="000000"/>
            </w:tcBorders>
            <w:shd w:val="clear" w:color="auto" w:fill="CCCCFF"/>
          </w:tcPr>
          <w:p w14:paraId="2F9697C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1"/>
              <w:jc w:val="center"/>
            </w:pPr>
            <w:r>
              <w:rPr>
                <w:b/>
              </w:rPr>
              <w:t xml:space="preserve">Challenge number(s) addressed </w:t>
            </w:r>
          </w:p>
        </w:tc>
      </w:tr>
    </w:tbl>
    <w:p w14:paraId="6F81ECC4" w14:textId="77777777" w:rsidR="009972EC" w:rsidRDefault="009972EC">
      <w:pPr>
        <w:pBdr>
          <w:top w:val="none" w:sz="0" w:space="0" w:color="auto"/>
          <w:left w:val="none" w:sz="0" w:space="0" w:color="auto"/>
          <w:bottom w:val="none" w:sz="0" w:space="0" w:color="auto"/>
          <w:right w:val="none" w:sz="0" w:space="0" w:color="auto"/>
        </w:pBdr>
        <w:spacing w:after="0" w:line="259" w:lineRule="auto"/>
        <w:ind w:left="-1133" w:right="10557" w:firstLine="0"/>
      </w:pPr>
    </w:p>
    <w:tbl>
      <w:tblPr>
        <w:tblStyle w:val="TableGrid"/>
        <w:tblW w:w="9489" w:type="dxa"/>
        <w:tblInd w:w="5" w:type="dxa"/>
        <w:tblCellMar>
          <w:top w:w="49" w:type="dxa"/>
          <w:left w:w="110" w:type="dxa"/>
          <w:right w:w="66" w:type="dxa"/>
        </w:tblCellMar>
        <w:tblLook w:val="04A0" w:firstRow="1" w:lastRow="0" w:firstColumn="1" w:lastColumn="0" w:noHBand="0" w:noVBand="1"/>
      </w:tblPr>
      <w:tblGrid>
        <w:gridCol w:w="3965"/>
        <w:gridCol w:w="4112"/>
        <w:gridCol w:w="1412"/>
      </w:tblGrid>
      <w:tr w:rsidR="009972EC" w14:paraId="2E184330" w14:textId="77777777">
        <w:trPr>
          <w:trHeight w:val="1620"/>
        </w:trPr>
        <w:tc>
          <w:tcPr>
            <w:tcW w:w="3965" w:type="dxa"/>
            <w:tcBorders>
              <w:top w:val="single" w:sz="4" w:space="0" w:color="000000"/>
              <w:left w:val="single" w:sz="4" w:space="0" w:color="000000"/>
              <w:bottom w:val="single" w:sz="4" w:space="0" w:color="000000"/>
              <w:right w:val="single" w:sz="4" w:space="0" w:color="000000"/>
            </w:tcBorders>
          </w:tcPr>
          <w:p w14:paraId="66651077" w14:textId="0222540E" w:rsidR="009972EC" w:rsidRDefault="004F6FE1">
            <w:pPr>
              <w:pBdr>
                <w:top w:val="none" w:sz="0" w:space="0" w:color="auto"/>
                <w:left w:val="none" w:sz="0" w:space="0" w:color="auto"/>
                <w:bottom w:val="none" w:sz="0" w:space="0" w:color="auto"/>
                <w:right w:val="none" w:sz="0" w:space="0" w:color="auto"/>
              </w:pBdr>
              <w:spacing w:after="62" w:line="257" w:lineRule="auto"/>
              <w:ind w:left="58" w:right="19" w:firstLine="0"/>
            </w:pPr>
            <w:r>
              <w:rPr>
                <w:sz w:val="22"/>
              </w:rPr>
              <w:t xml:space="preserve">Senior Leadership team to deliver </w:t>
            </w:r>
            <w:r w:rsidR="008803A8">
              <w:rPr>
                <w:sz w:val="22"/>
              </w:rPr>
              <w:t>Mentoring</w:t>
            </w:r>
            <w:r>
              <w:rPr>
                <w:sz w:val="22"/>
              </w:rPr>
              <w:t xml:space="preserve"> Programme. </w:t>
            </w:r>
          </w:p>
          <w:p w14:paraId="4E358969" w14:textId="77777777" w:rsidR="009972EC" w:rsidRDefault="004F6FE1">
            <w:pPr>
              <w:pBdr>
                <w:top w:val="none" w:sz="0" w:space="0" w:color="auto"/>
                <w:left w:val="none" w:sz="0" w:space="0" w:color="auto"/>
                <w:bottom w:val="none" w:sz="0" w:space="0" w:color="auto"/>
                <w:right w:val="none" w:sz="0" w:space="0" w:color="auto"/>
              </w:pBdr>
              <w:spacing w:after="60" w:line="259" w:lineRule="auto"/>
              <w:ind w:left="58" w:firstLine="0"/>
            </w:pPr>
            <w:r>
              <w:rPr>
                <w:sz w:val="22"/>
              </w:rPr>
              <w:t xml:space="preserve">Training and resources for delivery of Fresh Start Programme. </w:t>
            </w:r>
          </w:p>
          <w:p w14:paraId="76E5555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708B0EB" w14:textId="77777777" w:rsidR="00F027D4" w:rsidRDefault="00F027D4">
            <w:pPr>
              <w:spacing w:after="160" w:line="259" w:lineRule="auto"/>
              <w:ind w:left="0" w:firstLine="0"/>
            </w:pPr>
          </w:p>
        </w:tc>
        <w:tc>
          <w:tcPr>
            <w:tcW w:w="1412" w:type="dxa"/>
            <w:tcBorders>
              <w:top w:val="single" w:sz="4" w:space="0" w:color="000000"/>
              <w:left w:val="single" w:sz="4" w:space="0" w:color="000000"/>
              <w:bottom w:val="single" w:sz="4" w:space="0" w:color="000000"/>
              <w:right w:val="single" w:sz="4" w:space="0" w:color="000000"/>
            </w:tcBorders>
          </w:tcPr>
          <w:p w14:paraId="03780303" w14:textId="77777777" w:rsidR="009972EC" w:rsidRDefault="009972EC">
            <w:pPr>
              <w:spacing w:after="160" w:line="259" w:lineRule="auto"/>
              <w:ind w:left="0" w:firstLine="0"/>
            </w:pPr>
          </w:p>
        </w:tc>
      </w:tr>
      <w:tr w:rsidR="009972EC" w14:paraId="63E690E1" w14:textId="77777777">
        <w:trPr>
          <w:trHeight w:val="1591"/>
        </w:trPr>
        <w:tc>
          <w:tcPr>
            <w:tcW w:w="3965" w:type="dxa"/>
            <w:tcBorders>
              <w:top w:val="single" w:sz="4" w:space="0" w:color="000000"/>
              <w:left w:val="single" w:sz="4" w:space="0" w:color="000000"/>
              <w:bottom w:val="single" w:sz="4" w:space="0" w:color="000000"/>
              <w:right w:val="single" w:sz="4" w:space="0" w:color="000000"/>
            </w:tcBorders>
            <w:vAlign w:val="center"/>
          </w:tcPr>
          <w:p w14:paraId="73D64BA5" w14:textId="175363BC"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 xml:space="preserve">Identification of students who need more support accessing and completing home learning.  </w:t>
            </w:r>
            <w:r w:rsidR="00F027D4">
              <w:rPr>
                <w:sz w:val="22"/>
              </w:rPr>
              <w:t>Offering of lunchtime access to Computers to support access to online homework and learning</w:t>
            </w:r>
          </w:p>
        </w:tc>
        <w:tc>
          <w:tcPr>
            <w:tcW w:w="4112" w:type="dxa"/>
            <w:tcBorders>
              <w:top w:val="single" w:sz="4" w:space="0" w:color="000000"/>
              <w:left w:val="single" w:sz="4" w:space="0" w:color="000000"/>
              <w:bottom w:val="single" w:sz="4" w:space="0" w:color="000000"/>
              <w:right w:val="single" w:sz="4" w:space="0" w:color="000000"/>
            </w:tcBorders>
          </w:tcPr>
          <w:p w14:paraId="7F20F685" w14:textId="77777777" w:rsidR="009972EC" w:rsidRDefault="004F6FE1">
            <w:pPr>
              <w:pBdr>
                <w:top w:val="none" w:sz="0" w:space="0" w:color="auto"/>
                <w:left w:val="none" w:sz="0" w:space="0" w:color="auto"/>
                <w:bottom w:val="none" w:sz="0" w:space="0" w:color="auto"/>
                <w:right w:val="none" w:sz="0" w:space="0" w:color="auto"/>
              </w:pBdr>
              <w:spacing w:after="58" w:line="239" w:lineRule="auto"/>
              <w:ind w:left="0" w:firstLine="0"/>
              <w:jc w:val="center"/>
            </w:pPr>
            <w:r>
              <w:rPr>
                <w:sz w:val="22"/>
              </w:rPr>
              <w:t xml:space="preserve">Effective home learning has a positive impact on the progress made by students (+5 months). </w:t>
            </w:r>
          </w:p>
          <w:p w14:paraId="2E9E36A4"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3" w:firstLine="0"/>
              <w:jc w:val="center"/>
            </w:pPr>
            <w:r>
              <w:rPr>
                <w:sz w:val="22"/>
              </w:rPr>
              <w:t xml:space="preserve"> </w:t>
            </w:r>
          </w:p>
          <w:p w14:paraId="06A301D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hyperlink r:id="rId21">
              <w:r>
                <w:rPr>
                  <w:color w:val="0000FF"/>
                  <w:sz w:val="22"/>
                  <w:u w:val="single" w:color="0000FF"/>
                </w:rPr>
                <w:t>EEf Home Learning</w:t>
              </w:r>
            </w:hyperlink>
            <w:hyperlink r:id="rId22">
              <w:r>
                <w:rPr>
                  <w:sz w:val="22"/>
                </w:rPr>
                <w:t xml:space="preserve"> </w:t>
              </w:r>
            </w:hyperlink>
          </w:p>
        </w:tc>
        <w:tc>
          <w:tcPr>
            <w:tcW w:w="1412" w:type="dxa"/>
            <w:tcBorders>
              <w:top w:val="single" w:sz="4" w:space="0" w:color="000000"/>
              <w:left w:val="single" w:sz="4" w:space="0" w:color="000000"/>
              <w:bottom w:val="single" w:sz="4" w:space="0" w:color="000000"/>
              <w:right w:val="single" w:sz="4" w:space="0" w:color="000000"/>
            </w:tcBorders>
            <w:vAlign w:val="center"/>
          </w:tcPr>
          <w:p w14:paraId="3689EA1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r>
              <w:rPr>
                <w:sz w:val="22"/>
              </w:rPr>
              <w:t xml:space="preserve">3 </w:t>
            </w:r>
          </w:p>
        </w:tc>
      </w:tr>
      <w:tr w:rsidR="009972EC" w14:paraId="030972C6" w14:textId="77777777">
        <w:trPr>
          <w:trHeight w:val="2461"/>
        </w:trPr>
        <w:tc>
          <w:tcPr>
            <w:tcW w:w="3965" w:type="dxa"/>
            <w:tcBorders>
              <w:top w:val="single" w:sz="4" w:space="0" w:color="000000"/>
              <w:left w:val="single" w:sz="4" w:space="0" w:color="000000"/>
              <w:bottom w:val="single" w:sz="4" w:space="0" w:color="000000"/>
              <w:right w:val="single" w:sz="4" w:space="0" w:color="000000"/>
            </w:tcBorders>
            <w:vAlign w:val="center"/>
          </w:tcPr>
          <w:p w14:paraId="1F50F2B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Easter and May half term intervention groups for targeted disadvantaged students at Key Stage 4.</w:t>
            </w:r>
            <w:r>
              <w:rPr>
                <w:color w:val="FF0000"/>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F7CFED1" w14:textId="77777777" w:rsidR="009972EC" w:rsidRDefault="004F6FE1">
            <w:pPr>
              <w:pBdr>
                <w:top w:val="none" w:sz="0" w:space="0" w:color="auto"/>
                <w:left w:val="none" w:sz="0" w:space="0" w:color="auto"/>
                <w:bottom w:val="none" w:sz="0" w:space="0" w:color="auto"/>
                <w:right w:val="none" w:sz="0" w:space="0" w:color="auto"/>
              </w:pBdr>
              <w:spacing w:after="0" w:line="240" w:lineRule="auto"/>
              <w:ind w:left="0" w:firstLine="0"/>
              <w:jc w:val="center"/>
            </w:pPr>
            <w:r>
              <w:rPr>
                <w:sz w:val="22"/>
              </w:rPr>
              <w:t xml:space="preserve">Tuition targeted at specific needs and knowledge gaps can be an effective </w:t>
            </w:r>
          </w:p>
          <w:p w14:paraId="7948A709"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firstLine="0"/>
              <w:jc w:val="center"/>
            </w:pPr>
            <w:r>
              <w:rPr>
                <w:sz w:val="22"/>
              </w:rPr>
              <w:t xml:space="preserve">method to support low attaining pupils or those falling behind, both one-to-one and in small groups. </w:t>
            </w:r>
          </w:p>
          <w:p w14:paraId="733D0212"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3" w:firstLine="0"/>
              <w:jc w:val="center"/>
            </w:pPr>
            <w:r>
              <w:rPr>
                <w:sz w:val="22"/>
              </w:rPr>
              <w:t xml:space="preserve"> </w:t>
            </w:r>
          </w:p>
          <w:p w14:paraId="06856BD9"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46" w:firstLine="0"/>
              <w:jc w:val="center"/>
            </w:pPr>
            <w:hyperlink r:id="rId23">
              <w:r>
                <w:rPr>
                  <w:color w:val="0000FF"/>
                  <w:sz w:val="22"/>
                  <w:u w:val="single" w:color="0000FF"/>
                </w:rPr>
                <w:t>EEF 1:1 Tuition</w:t>
              </w:r>
            </w:hyperlink>
            <w:hyperlink r:id="rId24">
              <w:r>
                <w:rPr>
                  <w:sz w:val="22"/>
                </w:rPr>
                <w:t xml:space="preserve"> </w:t>
              </w:r>
            </w:hyperlink>
          </w:p>
          <w:p w14:paraId="4787085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hyperlink r:id="rId25">
              <w:r>
                <w:rPr>
                  <w:color w:val="0000FF"/>
                  <w:sz w:val="22"/>
                  <w:u w:val="single" w:color="0000FF"/>
                </w:rPr>
                <w:t>EEF Small Groups</w:t>
              </w:r>
            </w:hyperlink>
            <w:hyperlink r:id="rId26">
              <w:r>
                <w:rPr>
                  <w:sz w:val="22"/>
                </w:rPr>
                <w:t xml:space="preserve"> </w:t>
              </w:r>
            </w:hyperlink>
          </w:p>
        </w:tc>
        <w:tc>
          <w:tcPr>
            <w:tcW w:w="1412" w:type="dxa"/>
            <w:tcBorders>
              <w:top w:val="single" w:sz="4" w:space="0" w:color="000000"/>
              <w:left w:val="single" w:sz="4" w:space="0" w:color="000000"/>
              <w:bottom w:val="single" w:sz="4" w:space="0" w:color="000000"/>
              <w:right w:val="single" w:sz="4" w:space="0" w:color="000000"/>
            </w:tcBorders>
            <w:vAlign w:val="center"/>
          </w:tcPr>
          <w:p w14:paraId="22571D3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r>
              <w:rPr>
                <w:sz w:val="22"/>
              </w:rPr>
              <w:t xml:space="preserve">3 </w:t>
            </w:r>
          </w:p>
        </w:tc>
      </w:tr>
      <w:tr w:rsidR="009972EC" w14:paraId="2700E69B" w14:textId="77777777">
        <w:trPr>
          <w:trHeight w:val="2458"/>
        </w:trPr>
        <w:tc>
          <w:tcPr>
            <w:tcW w:w="3965" w:type="dxa"/>
            <w:tcBorders>
              <w:top w:val="single" w:sz="4" w:space="0" w:color="000000"/>
              <w:left w:val="single" w:sz="4" w:space="0" w:color="000000"/>
              <w:bottom w:val="single" w:sz="4" w:space="0" w:color="000000"/>
              <w:right w:val="single" w:sz="4" w:space="0" w:color="000000"/>
            </w:tcBorders>
            <w:vAlign w:val="center"/>
          </w:tcPr>
          <w:p w14:paraId="1C84BF9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 xml:space="preserve">Additional Maths and English </w:t>
            </w:r>
          </w:p>
          <w:p w14:paraId="2BB6DD6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 xml:space="preserve">Intervention sessions to support increase in Grade 5+ in both Maths and English </w:t>
            </w:r>
          </w:p>
        </w:tc>
        <w:tc>
          <w:tcPr>
            <w:tcW w:w="4112" w:type="dxa"/>
            <w:tcBorders>
              <w:top w:val="single" w:sz="4" w:space="0" w:color="000000"/>
              <w:left w:val="single" w:sz="4" w:space="0" w:color="000000"/>
              <w:bottom w:val="single" w:sz="4" w:space="0" w:color="000000"/>
              <w:right w:val="single" w:sz="4" w:space="0" w:color="000000"/>
            </w:tcBorders>
          </w:tcPr>
          <w:p w14:paraId="21585EDC"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Tuition targeted at specific needs and knowledge gaps can be an effective </w:t>
            </w:r>
          </w:p>
          <w:p w14:paraId="563BD85D" w14:textId="77777777" w:rsidR="009972EC" w:rsidRDefault="004F6FE1">
            <w:pPr>
              <w:pBdr>
                <w:top w:val="none" w:sz="0" w:space="0" w:color="auto"/>
                <w:left w:val="none" w:sz="0" w:space="0" w:color="auto"/>
                <w:bottom w:val="none" w:sz="0" w:space="0" w:color="auto"/>
                <w:right w:val="none" w:sz="0" w:space="0" w:color="auto"/>
              </w:pBdr>
              <w:spacing w:after="61" w:line="238" w:lineRule="auto"/>
              <w:ind w:left="0" w:firstLine="0"/>
              <w:jc w:val="center"/>
            </w:pPr>
            <w:r>
              <w:rPr>
                <w:sz w:val="22"/>
              </w:rPr>
              <w:t xml:space="preserve">method to support low attaining pupils or those falling behind, both one-to-one and in small groups. </w:t>
            </w:r>
          </w:p>
          <w:p w14:paraId="50E85BB3"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3" w:firstLine="0"/>
              <w:jc w:val="center"/>
            </w:pPr>
            <w:r>
              <w:rPr>
                <w:sz w:val="22"/>
              </w:rPr>
              <w:t xml:space="preserve"> </w:t>
            </w:r>
          </w:p>
          <w:p w14:paraId="7D12BBCA"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46" w:firstLine="0"/>
              <w:jc w:val="center"/>
            </w:pPr>
            <w:hyperlink r:id="rId27">
              <w:r>
                <w:rPr>
                  <w:color w:val="0000FF"/>
                  <w:sz w:val="22"/>
                  <w:u w:val="single" w:color="0000FF"/>
                </w:rPr>
                <w:t>EEF 1:1 Tuition</w:t>
              </w:r>
            </w:hyperlink>
            <w:hyperlink r:id="rId28">
              <w:r>
                <w:rPr>
                  <w:sz w:val="22"/>
                </w:rPr>
                <w:t xml:space="preserve"> </w:t>
              </w:r>
            </w:hyperlink>
          </w:p>
          <w:p w14:paraId="52BB2573"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hyperlink r:id="rId29">
              <w:r>
                <w:rPr>
                  <w:color w:val="0000FF"/>
                  <w:sz w:val="22"/>
                  <w:u w:val="single" w:color="0000FF"/>
                </w:rPr>
                <w:t>EEF Small Groups</w:t>
              </w:r>
            </w:hyperlink>
            <w:hyperlink r:id="rId30">
              <w:r>
                <w:rPr>
                  <w:sz w:val="22"/>
                </w:rPr>
                <w:t xml:space="preserve"> </w:t>
              </w:r>
            </w:hyperlink>
          </w:p>
        </w:tc>
        <w:tc>
          <w:tcPr>
            <w:tcW w:w="1412" w:type="dxa"/>
            <w:tcBorders>
              <w:top w:val="single" w:sz="4" w:space="0" w:color="000000"/>
              <w:left w:val="single" w:sz="4" w:space="0" w:color="000000"/>
              <w:bottom w:val="single" w:sz="4" w:space="0" w:color="000000"/>
              <w:right w:val="single" w:sz="4" w:space="0" w:color="000000"/>
            </w:tcBorders>
            <w:vAlign w:val="center"/>
          </w:tcPr>
          <w:p w14:paraId="70988A5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r>
              <w:rPr>
                <w:sz w:val="22"/>
              </w:rPr>
              <w:t xml:space="preserve">3 </w:t>
            </w:r>
          </w:p>
        </w:tc>
      </w:tr>
      <w:tr w:rsidR="009972EC" w14:paraId="4EFE882E" w14:textId="77777777">
        <w:trPr>
          <w:trHeight w:val="2218"/>
        </w:trPr>
        <w:tc>
          <w:tcPr>
            <w:tcW w:w="3965" w:type="dxa"/>
            <w:tcBorders>
              <w:top w:val="single" w:sz="4" w:space="0" w:color="000000"/>
              <w:left w:val="single" w:sz="4" w:space="0" w:color="000000"/>
              <w:bottom w:val="single" w:sz="4" w:space="0" w:color="000000"/>
              <w:right w:val="single" w:sz="4" w:space="0" w:color="000000"/>
            </w:tcBorders>
          </w:tcPr>
          <w:p w14:paraId="5115CFD7"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pPr>
            <w:r>
              <w:rPr>
                <w:color w:val="000000"/>
                <w:sz w:val="22"/>
              </w:rPr>
              <w:t xml:space="preserve">CIAG programme for KS4 to ensure no NEET disadvantaged students and wider </w:t>
            </w:r>
          </w:p>
          <w:p w14:paraId="4CD347F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 xml:space="preserve">destination opportunities for disadvantaged students. All Y9-Y11 disadvantaged students to receive 1 to 1 careers advice (from a commissioned independent and impartial careers advisor) where parents are informed and </w:t>
            </w:r>
          </w:p>
        </w:tc>
        <w:tc>
          <w:tcPr>
            <w:tcW w:w="4112" w:type="dxa"/>
            <w:tcBorders>
              <w:top w:val="single" w:sz="4" w:space="0" w:color="000000"/>
              <w:left w:val="single" w:sz="4" w:space="0" w:color="000000"/>
              <w:bottom w:val="single" w:sz="4" w:space="0" w:color="000000"/>
              <w:right w:val="single" w:sz="4" w:space="0" w:color="000000"/>
            </w:tcBorders>
          </w:tcPr>
          <w:p w14:paraId="607BC469"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43" w:firstLine="0"/>
              <w:jc w:val="center"/>
            </w:pPr>
            <w:hyperlink r:id="rId31">
              <w:r>
                <w:rPr>
                  <w:color w:val="0000FF"/>
                  <w:sz w:val="22"/>
                  <w:u w:val="single" w:color="0000FF"/>
                </w:rPr>
                <w:t>EEF Aspiration Interventions</w:t>
              </w:r>
            </w:hyperlink>
            <w:hyperlink r:id="rId32">
              <w:r>
                <w:rPr>
                  <w:sz w:val="22"/>
                </w:rPr>
                <w:t xml:space="preserve"> </w:t>
              </w:r>
            </w:hyperlink>
          </w:p>
          <w:p w14:paraId="072AE483"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3" w:firstLine="0"/>
              <w:jc w:val="center"/>
            </w:pPr>
            <w:r>
              <w:rPr>
                <w:sz w:val="22"/>
              </w:rPr>
              <w:t xml:space="preserve"> </w:t>
            </w:r>
          </w:p>
          <w:p w14:paraId="138D2C7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8" w:firstLine="0"/>
              <w:jc w:val="center"/>
            </w:pPr>
            <w:hyperlink r:id="rId33">
              <w:r>
                <w:rPr>
                  <w:color w:val="0000FF"/>
                  <w:sz w:val="22"/>
                  <w:u w:val="single" w:color="0000FF"/>
                </w:rPr>
                <w:t>The DFE report</w:t>
              </w:r>
            </w:hyperlink>
            <w:hyperlink r:id="rId34">
              <w:r>
                <w:rPr>
                  <w:sz w:val="22"/>
                </w:rPr>
                <w:t xml:space="preserve"> </w:t>
              </w:r>
            </w:hyperlink>
            <w:r>
              <w:rPr>
                <w:sz w:val="22"/>
              </w:rPr>
              <w:t xml:space="preserve">on Strategies to raise </w:t>
            </w:r>
          </w:p>
          <w:p w14:paraId="29EE9D0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5" w:firstLine="0"/>
              <w:jc w:val="center"/>
            </w:pPr>
            <w:r>
              <w:rPr>
                <w:sz w:val="22"/>
              </w:rPr>
              <w:t xml:space="preserve">Aspirations in Disadvantaged students </w:t>
            </w:r>
          </w:p>
          <w:p w14:paraId="420AF54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3" w:hanging="3"/>
              <w:jc w:val="center"/>
            </w:pPr>
            <w:r>
              <w:rPr>
                <w:sz w:val="22"/>
              </w:rPr>
              <w:t xml:space="preserve">(2014) suggested that pro-active work to develop partnerships and links with universities and other external </w:t>
            </w:r>
          </w:p>
        </w:tc>
        <w:tc>
          <w:tcPr>
            <w:tcW w:w="1412" w:type="dxa"/>
            <w:tcBorders>
              <w:top w:val="single" w:sz="4" w:space="0" w:color="000000"/>
              <w:left w:val="single" w:sz="4" w:space="0" w:color="000000"/>
              <w:bottom w:val="single" w:sz="4" w:space="0" w:color="000000"/>
              <w:right w:val="single" w:sz="4" w:space="0" w:color="000000"/>
            </w:tcBorders>
            <w:vAlign w:val="center"/>
          </w:tcPr>
          <w:p w14:paraId="39716A0F" w14:textId="4221DECD" w:rsidR="009972EC" w:rsidRDefault="004F6FE1">
            <w:pPr>
              <w:pBdr>
                <w:top w:val="none" w:sz="0" w:space="0" w:color="auto"/>
                <w:left w:val="none" w:sz="0" w:space="0" w:color="auto"/>
                <w:bottom w:val="none" w:sz="0" w:space="0" w:color="auto"/>
                <w:right w:val="none" w:sz="0" w:space="0" w:color="auto"/>
              </w:pBdr>
              <w:spacing w:after="0" w:line="259" w:lineRule="auto"/>
              <w:ind w:left="0" w:right="46" w:firstLine="0"/>
              <w:jc w:val="center"/>
            </w:pPr>
            <w:r>
              <w:rPr>
                <w:sz w:val="22"/>
              </w:rPr>
              <w:t>1,</w:t>
            </w:r>
            <w:r w:rsidR="00F027D4">
              <w:rPr>
                <w:sz w:val="22"/>
              </w:rPr>
              <w:t>5</w:t>
            </w:r>
          </w:p>
        </w:tc>
      </w:tr>
      <w:tr w:rsidR="009972EC" w14:paraId="607AED85" w14:textId="77777777">
        <w:trPr>
          <w:trHeight w:val="5027"/>
        </w:trPr>
        <w:tc>
          <w:tcPr>
            <w:tcW w:w="3965" w:type="dxa"/>
            <w:tcBorders>
              <w:top w:val="single" w:sz="4" w:space="0" w:color="000000"/>
              <w:left w:val="single" w:sz="4" w:space="0" w:color="000000"/>
              <w:bottom w:val="single" w:sz="4" w:space="0" w:color="000000"/>
              <w:right w:val="single" w:sz="4" w:space="0" w:color="000000"/>
            </w:tcBorders>
          </w:tcPr>
          <w:p w14:paraId="15BB388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lastRenderedPageBreak/>
              <w:t xml:space="preserve">encouraged to attend the meetings. HEI visit – all disadvantaged have the opportunity to visit a university. </w:t>
            </w:r>
          </w:p>
        </w:tc>
        <w:tc>
          <w:tcPr>
            <w:tcW w:w="4112" w:type="dxa"/>
            <w:tcBorders>
              <w:top w:val="single" w:sz="4" w:space="0" w:color="000000"/>
              <w:left w:val="single" w:sz="4" w:space="0" w:color="000000"/>
              <w:bottom w:val="single" w:sz="4" w:space="0" w:color="000000"/>
              <w:right w:val="single" w:sz="4" w:space="0" w:color="000000"/>
            </w:tcBorders>
          </w:tcPr>
          <w:p w14:paraId="4A74A1D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2" w:firstLine="0"/>
              <w:jc w:val="center"/>
            </w:pPr>
            <w:r>
              <w:rPr>
                <w:sz w:val="22"/>
              </w:rPr>
              <w:t xml:space="preserve">organisations (e.g. local employers) that </w:t>
            </w:r>
          </w:p>
          <w:p w14:paraId="77723056" w14:textId="77777777" w:rsidR="009972EC" w:rsidRDefault="004F6FE1">
            <w:pPr>
              <w:pBdr>
                <w:top w:val="none" w:sz="0" w:space="0" w:color="auto"/>
                <w:left w:val="none" w:sz="0" w:space="0" w:color="auto"/>
                <w:bottom w:val="none" w:sz="0" w:space="0" w:color="auto"/>
                <w:right w:val="none" w:sz="0" w:space="0" w:color="auto"/>
              </w:pBdr>
              <w:spacing w:after="62" w:line="237" w:lineRule="auto"/>
              <w:ind w:left="0" w:firstLine="0"/>
              <w:jc w:val="center"/>
            </w:pPr>
            <w:r>
              <w:rPr>
                <w:sz w:val="22"/>
              </w:rPr>
              <w:t xml:space="preserve">can provide support for aspiration-raising and career development activities. </w:t>
            </w:r>
          </w:p>
          <w:p w14:paraId="72B55504"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46" w:firstLine="0"/>
              <w:jc w:val="center"/>
            </w:pPr>
            <w:r>
              <w:rPr>
                <w:sz w:val="22"/>
              </w:rPr>
              <w:t xml:space="preserve"> </w:t>
            </w:r>
          </w:p>
          <w:p w14:paraId="318B6B5F"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The Gatsby Benchmark Toolkit identifies that successful schools have ‘a clear </w:t>
            </w:r>
          </w:p>
          <w:p w14:paraId="4CA2EB2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 xml:space="preserve">strategic overview of a student’s career </w:t>
            </w:r>
          </w:p>
          <w:p w14:paraId="212460F5"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needs, knowledge and skills at each stage of their learner journey, as well as the </w:t>
            </w:r>
          </w:p>
          <w:p w14:paraId="0BA8616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3" w:firstLine="0"/>
              <w:jc w:val="center"/>
            </w:pPr>
            <w:r>
              <w:rPr>
                <w:sz w:val="22"/>
              </w:rPr>
              <w:t xml:space="preserve">decisions they are likely to face. This </w:t>
            </w:r>
          </w:p>
          <w:p w14:paraId="55ADBAC8"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information sets a progressive framework of learning goals and includes contextual </w:t>
            </w:r>
          </w:p>
          <w:p w14:paraId="04E368FF"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11" w:hanging="11"/>
              <w:jc w:val="center"/>
            </w:pPr>
            <w:r>
              <w:rPr>
                <w:sz w:val="22"/>
              </w:rPr>
              <w:t xml:space="preserve">factors, such as parental aspirations and family backgrounds. It recognises the scope of improving social mobility by </w:t>
            </w:r>
          </w:p>
          <w:p w14:paraId="233FA60D"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3" w:firstLine="0"/>
              <w:jc w:val="center"/>
            </w:pPr>
            <w:r>
              <w:rPr>
                <w:sz w:val="22"/>
              </w:rPr>
              <w:t xml:space="preserve">identifying the student’s barriers to </w:t>
            </w:r>
          </w:p>
          <w:p w14:paraId="5BD2090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overcome and the bridges of support they need to maximise their life chances.’</w:t>
            </w:r>
            <w:r>
              <w:rPr>
                <w:b/>
                <w:sz w:val="22"/>
              </w:rPr>
              <w:t xml:space="preserve"> </w:t>
            </w:r>
          </w:p>
        </w:tc>
        <w:tc>
          <w:tcPr>
            <w:tcW w:w="1412" w:type="dxa"/>
            <w:tcBorders>
              <w:top w:val="single" w:sz="4" w:space="0" w:color="000000"/>
              <w:left w:val="single" w:sz="4" w:space="0" w:color="000000"/>
              <w:bottom w:val="single" w:sz="4" w:space="0" w:color="000000"/>
              <w:right w:val="single" w:sz="4" w:space="0" w:color="000000"/>
            </w:tcBorders>
          </w:tcPr>
          <w:p w14:paraId="23B13640" w14:textId="77777777" w:rsidR="009972EC" w:rsidRDefault="009972EC">
            <w:pPr>
              <w:spacing w:after="160" w:line="259" w:lineRule="auto"/>
              <w:ind w:left="0" w:firstLine="0"/>
            </w:pPr>
          </w:p>
        </w:tc>
      </w:tr>
      <w:tr w:rsidR="009972EC" w14:paraId="64C4FC2A" w14:textId="77777777">
        <w:trPr>
          <w:trHeight w:val="1743"/>
        </w:trPr>
        <w:tc>
          <w:tcPr>
            <w:tcW w:w="3965" w:type="dxa"/>
            <w:tcBorders>
              <w:top w:val="single" w:sz="4" w:space="0" w:color="000000"/>
              <w:left w:val="single" w:sz="4" w:space="0" w:color="000000"/>
              <w:bottom w:val="single" w:sz="4" w:space="0" w:color="000000"/>
              <w:right w:val="single" w:sz="4" w:space="0" w:color="000000"/>
            </w:tcBorders>
            <w:vAlign w:val="center"/>
          </w:tcPr>
          <w:p w14:paraId="66F6F0F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color w:val="000000"/>
                <w:sz w:val="22"/>
              </w:rPr>
              <w:t xml:space="preserve">Portion of budget reserved to meet individual student need as it arises in a more responsive way. </w:t>
            </w:r>
          </w:p>
        </w:tc>
        <w:tc>
          <w:tcPr>
            <w:tcW w:w="4112" w:type="dxa"/>
            <w:tcBorders>
              <w:top w:val="single" w:sz="4" w:space="0" w:color="000000"/>
              <w:left w:val="single" w:sz="4" w:space="0" w:color="000000"/>
              <w:bottom w:val="single" w:sz="4" w:space="0" w:color="000000"/>
              <w:right w:val="single" w:sz="4" w:space="0" w:color="000000"/>
            </w:tcBorders>
          </w:tcPr>
          <w:p w14:paraId="2A8711E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 xml:space="preserve">Our own experience over several years is that we have had to rely on a contingency to meet one-off or unplanned for student need. Not having a contingency in place would mean we are likely to fail to meet pupil need as it arises. </w:t>
            </w:r>
          </w:p>
        </w:tc>
        <w:tc>
          <w:tcPr>
            <w:tcW w:w="1412" w:type="dxa"/>
            <w:tcBorders>
              <w:top w:val="single" w:sz="4" w:space="0" w:color="000000"/>
              <w:left w:val="single" w:sz="4" w:space="0" w:color="000000"/>
              <w:bottom w:val="single" w:sz="4" w:space="0" w:color="000000"/>
              <w:right w:val="single" w:sz="4" w:space="0" w:color="000000"/>
            </w:tcBorders>
            <w:vAlign w:val="center"/>
          </w:tcPr>
          <w:p w14:paraId="1AC7243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 xml:space="preserve">All </w:t>
            </w:r>
          </w:p>
        </w:tc>
      </w:tr>
    </w:tbl>
    <w:p w14:paraId="740ABB36" w14:textId="77777777" w:rsidR="009972EC" w:rsidRDefault="004F6FE1">
      <w:pPr>
        <w:pBdr>
          <w:top w:val="none" w:sz="0" w:space="0" w:color="auto"/>
          <w:left w:val="none" w:sz="0" w:space="0" w:color="auto"/>
          <w:bottom w:val="none" w:sz="0" w:space="0" w:color="auto"/>
          <w:right w:val="none" w:sz="0" w:space="0" w:color="auto"/>
        </w:pBdr>
        <w:spacing w:after="432" w:line="259" w:lineRule="auto"/>
        <w:ind w:left="0" w:firstLine="0"/>
      </w:pPr>
      <w:r>
        <w:t xml:space="preserve"> </w:t>
      </w:r>
    </w:p>
    <w:p w14:paraId="5ABCEC4B" w14:textId="77777777" w:rsidR="009972EC" w:rsidRDefault="004F6FE1">
      <w:pPr>
        <w:pStyle w:val="Heading3"/>
        <w:ind w:left="-5"/>
      </w:pPr>
      <w:r>
        <w:t xml:space="preserve">Wider strategies (for example, related to attendance, behaviour, wellbeing) </w:t>
      </w:r>
    </w:p>
    <w:tbl>
      <w:tblPr>
        <w:tblStyle w:val="TableGrid"/>
        <w:tblW w:w="9486" w:type="dxa"/>
        <w:tblInd w:w="7" w:type="dxa"/>
        <w:tblCellMar>
          <w:top w:w="108" w:type="dxa"/>
          <w:left w:w="108" w:type="dxa"/>
          <w:bottom w:w="37" w:type="dxa"/>
          <w:right w:w="68" w:type="dxa"/>
        </w:tblCellMar>
        <w:tblLook w:val="04A0" w:firstRow="1" w:lastRow="0" w:firstColumn="1" w:lastColumn="0" w:noHBand="0" w:noVBand="1"/>
      </w:tblPr>
      <w:tblGrid>
        <w:gridCol w:w="2688"/>
        <w:gridCol w:w="4255"/>
        <w:gridCol w:w="2543"/>
      </w:tblGrid>
      <w:tr w:rsidR="009972EC" w14:paraId="0E87DDBA" w14:textId="77777777">
        <w:trPr>
          <w:trHeight w:val="714"/>
        </w:trPr>
        <w:tc>
          <w:tcPr>
            <w:tcW w:w="2687"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1CC1E5D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9" w:firstLine="0"/>
              <w:jc w:val="center"/>
            </w:pPr>
            <w:r>
              <w:rPr>
                <w:b/>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CCCCFF"/>
            <w:vAlign w:val="center"/>
          </w:tcPr>
          <w:p w14:paraId="559A645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3" w:firstLine="0"/>
              <w:jc w:val="center"/>
            </w:pPr>
            <w:r>
              <w:rPr>
                <w:b/>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CCCCFF"/>
          </w:tcPr>
          <w:p w14:paraId="1F07EFD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b/>
              </w:rPr>
              <w:t xml:space="preserve">Challenge number(s) addressed </w:t>
            </w:r>
          </w:p>
        </w:tc>
      </w:tr>
      <w:tr w:rsidR="009972EC" w14:paraId="7AB5AC64" w14:textId="77777777">
        <w:trPr>
          <w:trHeight w:val="4279"/>
        </w:trPr>
        <w:tc>
          <w:tcPr>
            <w:tcW w:w="2687" w:type="dxa"/>
            <w:tcBorders>
              <w:top w:val="single" w:sz="4" w:space="0" w:color="000000"/>
              <w:left w:val="single" w:sz="4" w:space="0" w:color="000000"/>
              <w:bottom w:val="single" w:sz="4" w:space="0" w:color="000000"/>
              <w:right w:val="single" w:sz="4" w:space="0" w:color="000000"/>
            </w:tcBorders>
          </w:tcPr>
          <w:p w14:paraId="0D51CFE9"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firstLine="0"/>
            </w:pPr>
            <w:r>
              <w:rPr>
                <w:sz w:val="22"/>
              </w:rPr>
              <w:t xml:space="preserve">Attendance and Support Officer and additional administrative support for attendance. First day call and home visits targeted towards FSM (Free School Meals) and disadvantaged students. Target rewards for attendance. </w:t>
            </w:r>
          </w:p>
          <w:p w14:paraId="16A1DEFC"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firstLine="0"/>
            </w:pPr>
            <w:r>
              <w:rPr>
                <w:sz w:val="22"/>
              </w:rPr>
              <w:t xml:space="preserve"> </w:t>
            </w:r>
          </w:p>
          <w:p w14:paraId="5AF42C02"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pPr>
            <w:r>
              <w:rPr>
                <w:sz w:val="22"/>
              </w:rPr>
              <w:t xml:space="preserve">Attendance champion in post to work with disadvantaged students at </w:t>
            </w:r>
          </w:p>
          <w:p w14:paraId="644926F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risk of persistent absenteeism.  </w:t>
            </w:r>
          </w:p>
        </w:tc>
        <w:tc>
          <w:tcPr>
            <w:tcW w:w="4255" w:type="dxa"/>
            <w:tcBorders>
              <w:top w:val="single" w:sz="4" w:space="0" w:color="000000"/>
              <w:left w:val="single" w:sz="4" w:space="0" w:color="000000"/>
              <w:bottom w:val="single" w:sz="4" w:space="0" w:color="000000"/>
              <w:right w:val="single" w:sz="4" w:space="0" w:color="000000"/>
            </w:tcBorders>
            <w:vAlign w:val="center"/>
          </w:tcPr>
          <w:p w14:paraId="65697EB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11" w:right="7" w:firstLine="0"/>
              <w:jc w:val="center"/>
            </w:pPr>
            <w:r>
              <w:rPr>
                <w:sz w:val="22"/>
              </w:rPr>
              <w:t>Embedding principles of good practice set out in the DFE</w:t>
            </w:r>
            <w:hyperlink r:id="rId35">
              <w:r>
                <w:rPr>
                  <w:sz w:val="22"/>
                </w:rPr>
                <w:t xml:space="preserve">s </w:t>
              </w:r>
            </w:hyperlink>
            <w:hyperlink r:id="rId36">
              <w:r>
                <w:rPr>
                  <w:color w:val="0000FF"/>
                  <w:sz w:val="22"/>
                  <w:u w:val="single" w:color="0000FF"/>
                </w:rPr>
                <w:t>improving school</w:t>
              </w:r>
            </w:hyperlink>
            <w:hyperlink r:id="rId37">
              <w:r>
                <w:rPr>
                  <w:color w:val="0000FF"/>
                  <w:sz w:val="22"/>
                </w:rPr>
                <w:t xml:space="preserve"> </w:t>
              </w:r>
            </w:hyperlink>
            <w:hyperlink r:id="rId38">
              <w:r>
                <w:rPr>
                  <w:color w:val="0000FF"/>
                  <w:sz w:val="22"/>
                  <w:u w:val="single" w:color="0000FF"/>
                </w:rPr>
                <w:t>attendance</w:t>
              </w:r>
            </w:hyperlink>
            <w:hyperlink r:id="rId39">
              <w:r>
                <w:rPr>
                  <w:sz w:val="22"/>
                </w:rPr>
                <w:t xml:space="preserve"> </w:t>
              </w:r>
            </w:hyperlink>
            <w:r>
              <w:rPr>
                <w:sz w:val="22"/>
              </w:rPr>
              <w:t xml:space="preserve">advice. </w:t>
            </w:r>
          </w:p>
        </w:tc>
        <w:tc>
          <w:tcPr>
            <w:tcW w:w="2543" w:type="dxa"/>
            <w:tcBorders>
              <w:top w:val="single" w:sz="4" w:space="0" w:color="000000"/>
              <w:left w:val="single" w:sz="4" w:space="0" w:color="000000"/>
              <w:bottom w:val="single" w:sz="4" w:space="0" w:color="000000"/>
              <w:right w:val="single" w:sz="4" w:space="0" w:color="000000"/>
            </w:tcBorders>
            <w:vAlign w:val="center"/>
          </w:tcPr>
          <w:p w14:paraId="1B2F254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39" w:firstLine="0"/>
              <w:jc w:val="center"/>
            </w:pPr>
            <w:r>
              <w:rPr>
                <w:sz w:val="22"/>
              </w:rPr>
              <w:t xml:space="preserve">5 </w:t>
            </w:r>
          </w:p>
        </w:tc>
      </w:tr>
      <w:tr w:rsidR="009972EC" w14:paraId="153F1C44" w14:textId="77777777">
        <w:trPr>
          <w:trHeight w:val="1474"/>
        </w:trPr>
        <w:tc>
          <w:tcPr>
            <w:tcW w:w="2687" w:type="dxa"/>
            <w:tcBorders>
              <w:top w:val="single" w:sz="4" w:space="0" w:color="000000"/>
              <w:left w:val="single" w:sz="4" w:space="0" w:color="000000"/>
              <w:bottom w:val="single" w:sz="4" w:space="0" w:color="000000"/>
              <w:right w:val="single" w:sz="4" w:space="0" w:color="000000"/>
            </w:tcBorders>
          </w:tcPr>
          <w:p w14:paraId="26A380D9" w14:textId="58D532DF" w:rsidR="009972EC" w:rsidRDefault="004F6FE1">
            <w:pPr>
              <w:pBdr>
                <w:top w:val="none" w:sz="0" w:space="0" w:color="auto"/>
                <w:left w:val="none" w:sz="0" w:space="0" w:color="auto"/>
                <w:bottom w:val="none" w:sz="0" w:space="0" w:color="auto"/>
                <w:right w:val="none" w:sz="0" w:space="0" w:color="auto"/>
              </w:pBdr>
              <w:spacing w:after="2" w:line="237" w:lineRule="auto"/>
              <w:ind w:left="0" w:firstLine="0"/>
            </w:pPr>
            <w:r>
              <w:rPr>
                <w:sz w:val="22"/>
              </w:rPr>
              <w:lastRenderedPageBreak/>
              <w:t xml:space="preserve">Parental communication of </w:t>
            </w:r>
            <w:r w:rsidR="00F027D4">
              <w:rPr>
                <w:sz w:val="22"/>
              </w:rPr>
              <w:t>Mindset days</w:t>
            </w:r>
            <w:r>
              <w:rPr>
                <w:sz w:val="22"/>
              </w:rPr>
              <w:t xml:space="preserve"> </w:t>
            </w:r>
          </w:p>
          <w:p w14:paraId="6992DCDF"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(to support with attendance and cultural capital)</w:t>
            </w:r>
            <w:r>
              <w:rPr>
                <w:i/>
                <w:sz w:val="22"/>
              </w:rPr>
              <w:t xml:space="preserve"> </w:t>
            </w:r>
          </w:p>
        </w:tc>
        <w:tc>
          <w:tcPr>
            <w:tcW w:w="4255" w:type="dxa"/>
            <w:tcBorders>
              <w:top w:val="single" w:sz="4" w:space="0" w:color="000000"/>
              <w:left w:val="single" w:sz="4" w:space="0" w:color="000000"/>
              <w:bottom w:val="single" w:sz="4" w:space="0" w:color="000000"/>
              <w:right w:val="single" w:sz="4" w:space="0" w:color="000000"/>
            </w:tcBorders>
            <w:vAlign w:val="bottom"/>
          </w:tcPr>
          <w:p w14:paraId="42304143"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Parental engagement has a positive impact on average of 4 months’ additional progress. </w:t>
            </w:r>
          </w:p>
          <w:p w14:paraId="5044708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jc w:val="center"/>
            </w:pPr>
            <w:r>
              <w:rPr>
                <w:sz w:val="22"/>
              </w:rPr>
              <w:t xml:space="preserve">It is crucial to consider how to engage with all parents to avoid widening attainment gaps. There is some evidence that </w:t>
            </w:r>
          </w:p>
        </w:tc>
        <w:tc>
          <w:tcPr>
            <w:tcW w:w="2543" w:type="dxa"/>
            <w:tcBorders>
              <w:top w:val="single" w:sz="4" w:space="0" w:color="000000"/>
              <w:left w:val="single" w:sz="4" w:space="0" w:color="000000"/>
              <w:bottom w:val="single" w:sz="4" w:space="0" w:color="000000"/>
              <w:right w:val="single" w:sz="4" w:space="0" w:color="000000"/>
            </w:tcBorders>
            <w:vAlign w:val="center"/>
          </w:tcPr>
          <w:p w14:paraId="6C9E7017"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1" w:firstLine="0"/>
              <w:jc w:val="center"/>
            </w:pPr>
            <w:r>
              <w:rPr>
                <w:sz w:val="22"/>
              </w:rPr>
              <w:t xml:space="preserve">1, 5 </w:t>
            </w:r>
          </w:p>
        </w:tc>
      </w:tr>
    </w:tbl>
    <w:p w14:paraId="312C2490" w14:textId="77777777" w:rsidR="009972EC" w:rsidRDefault="009972EC">
      <w:pPr>
        <w:pBdr>
          <w:top w:val="none" w:sz="0" w:space="0" w:color="auto"/>
          <w:left w:val="none" w:sz="0" w:space="0" w:color="auto"/>
          <w:bottom w:val="none" w:sz="0" w:space="0" w:color="auto"/>
          <w:right w:val="none" w:sz="0" w:space="0" w:color="auto"/>
        </w:pBdr>
        <w:spacing w:after="0" w:line="259" w:lineRule="auto"/>
        <w:ind w:left="-1133" w:right="10557" w:firstLine="0"/>
      </w:pPr>
    </w:p>
    <w:tbl>
      <w:tblPr>
        <w:tblStyle w:val="TableGrid"/>
        <w:tblW w:w="9489" w:type="dxa"/>
        <w:tblInd w:w="5" w:type="dxa"/>
        <w:tblCellMar>
          <w:top w:w="49" w:type="dxa"/>
          <w:left w:w="110" w:type="dxa"/>
          <w:right w:w="63" w:type="dxa"/>
        </w:tblCellMar>
        <w:tblLook w:val="04A0" w:firstRow="1" w:lastRow="0" w:firstColumn="1" w:lastColumn="0" w:noHBand="0" w:noVBand="1"/>
      </w:tblPr>
      <w:tblGrid>
        <w:gridCol w:w="2689"/>
        <w:gridCol w:w="4256"/>
        <w:gridCol w:w="2544"/>
      </w:tblGrid>
      <w:tr w:rsidR="009972EC" w14:paraId="7030874D" w14:textId="77777777">
        <w:trPr>
          <w:trHeight w:val="2449"/>
        </w:trPr>
        <w:tc>
          <w:tcPr>
            <w:tcW w:w="2689" w:type="dxa"/>
            <w:tcBorders>
              <w:top w:val="single" w:sz="4" w:space="0" w:color="000000"/>
              <w:left w:val="single" w:sz="4" w:space="0" w:color="000000"/>
              <w:bottom w:val="single" w:sz="4" w:space="0" w:color="000000"/>
              <w:right w:val="single" w:sz="4" w:space="0" w:color="000000"/>
            </w:tcBorders>
            <w:vAlign w:val="center"/>
          </w:tcPr>
          <w:p w14:paraId="31392E0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0"/>
              </w:rPr>
              <w:t>Parental communication for parents evening. Priority communication, support and follow up</w:t>
            </w:r>
            <w:r>
              <w:rPr>
                <w:i/>
                <w:sz w:val="20"/>
              </w:rPr>
              <w:t xml:space="preserve"> </w:t>
            </w:r>
          </w:p>
        </w:tc>
        <w:tc>
          <w:tcPr>
            <w:tcW w:w="4256" w:type="dxa"/>
            <w:tcBorders>
              <w:top w:val="single" w:sz="4" w:space="0" w:color="000000"/>
              <w:left w:val="single" w:sz="4" w:space="0" w:color="000000"/>
              <w:bottom w:val="single" w:sz="4" w:space="0" w:color="000000"/>
              <w:right w:val="single" w:sz="4" w:space="0" w:color="000000"/>
            </w:tcBorders>
          </w:tcPr>
          <w:p w14:paraId="79A6BE24" w14:textId="77777777" w:rsidR="009972EC" w:rsidRDefault="004F6FE1">
            <w:pPr>
              <w:pBdr>
                <w:top w:val="none" w:sz="0" w:space="0" w:color="auto"/>
                <w:left w:val="none" w:sz="0" w:space="0" w:color="auto"/>
                <w:bottom w:val="none" w:sz="0" w:space="0" w:color="auto"/>
                <w:right w:val="none" w:sz="0" w:space="0" w:color="auto"/>
              </w:pBdr>
              <w:spacing w:after="0" w:line="242" w:lineRule="auto"/>
              <w:ind w:left="0" w:firstLine="0"/>
              <w:jc w:val="center"/>
            </w:pPr>
            <w:r>
              <w:rPr>
                <w:sz w:val="20"/>
              </w:rPr>
              <w:t xml:space="preserve">Parental engagement has a positive impact on average of 4 months’ additional progress. It is crucial to consider how to engage with all </w:t>
            </w:r>
          </w:p>
          <w:p w14:paraId="0CD96CDB" w14:textId="77777777" w:rsidR="009972EC" w:rsidRDefault="004F6FE1">
            <w:pPr>
              <w:pBdr>
                <w:top w:val="none" w:sz="0" w:space="0" w:color="auto"/>
                <w:left w:val="none" w:sz="0" w:space="0" w:color="auto"/>
                <w:bottom w:val="none" w:sz="0" w:space="0" w:color="auto"/>
                <w:right w:val="none" w:sz="0" w:space="0" w:color="auto"/>
              </w:pBdr>
              <w:spacing w:after="61" w:line="241" w:lineRule="auto"/>
              <w:ind w:left="8" w:right="18" w:firstLine="0"/>
              <w:jc w:val="center"/>
            </w:pPr>
            <w:r>
              <w:rPr>
                <w:sz w:val="20"/>
              </w:rPr>
              <w:t xml:space="preserve">parents to avoid widening attainment gaps. There is some evidence that personalised messages linked to learning can promote positive interactions. </w:t>
            </w:r>
          </w:p>
          <w:p w14:paraId="0C31D81E" w14:textId="77777777" w:rsidR="009972EC" w:rsidRDefault="004F6FE1">
            <w:pPr>
              <w:pBdr>
                <w:top w:val="none" w:sz="0" w:space="0" w:color="auto"/>
                <w:left w:val="none" w:sz="0" w:space="0" w:color="auto"/>
                <w:bottom w:val="none" w:sz="0" w:space="0" w:color="auto"/>
                <w:right w:val="none" w:sz="0" w:space="0" w:color="auto"/>
              </w:pBdr>
              <w:spacing w:after="40" w:line="259" w:lineRule="auto"/>
              <w:ind w:left="0" w:right="5" w:firstLine="0"/>
              <w:jc w:val="center"/>
            </w:pPr>
            <w:r>
              <w:rPr>
                <w:sz w:val="20"/>
              </w:rPr>
              <w:t xml:space="preserve"> </w:t>
            </w:r>
          </w:p>
          <w:p w14:paraId="6F3CA01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51" w:firstLine="0"/>
              <w:jc w:val="center"/>
            </w:pPr>
            <w:hyperlink r:id="rId40">
              <w:r>
                <w:rPr>
                  <w:color w:val="0000FF"/>
                  <w:sz w:val="20"/>
                  <w:u w:val="single" w:color="0000FF"/>
                </w:rPr>
                <w:t>EEF Parent Engagement</w:t>
              </w:r>
            </w:hyperlink>
            <w:hyperlink r:id="rId41">
              <w:r>
                <w:rPr>
                  <w:sz w:val="20"/>
                </w:rPr>
                <w:t xml:space="preserve"> </w:t>
              </w:r>
            </w:hyperlink>
          </w:p>
        </w:tc>
        <w:tc>
          <w:tcPr>
            <w:tcW w:w="2544" w:type="dxa"/>
            <w:tcBorders>
              <w:top w:val="single" w:sz="4" w:space="0" w:color="000000"/>
              <w:left w:val="single" w:sz="4" w:space="0" w:color="000000"/>
              <w:bottom w:val="single" w:sz="4" w:space="0" w:color="000000"/>
              <w:right w:val="single" w:sz="4" w:space="0" w:color="000000"/>
            </w:tcBorders>
            <w:vAlign w:val="center"/>
          </w:tcPr>
          <w:p w14:paraId="03D72845"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8" w:firstLine="0"/>
              <w:jc w:val="center"/>
            </w:pPr>
            <w:r>
              <w:rPr>
                <w:sz w:val="20"/>
              </w:rPr>
              <w:t xml:space="preserve">3, 4 </w:t>
            </w:r>
          </w:p>
        </w:tc>
      </w:tr>
      <w:tr w:rsidR="009972EC" w14:paraId="1665EB04" w14:textId="77777777">
        <w:trPr>
          <w:trHeight w:val="2398"/>
        </w:trPr>
        <w:tc>
          <w:tcPr>
            <w:tcW w:w="2689" w:type="dxa"/>
            <w:tcBorders>
              <w:top w:val="single" w:sz="4" w:space="0" w:color="000000"/>
              <w:left w:val="single" w:sz="4" w:space="0" w:color="000000"/>
              <w:bottom w:val="single" w:sz="4" w:space="0" w:color="000000"/>
              <w:right w:val="single" w:sz="4" w:space="0" w:color="000000"/>
            </w:tcBorders>
            <w:vAlign w:val="center"/>
          </w:tcPr>
          <w:p w14:paraId="250A7CED"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0" w:firstLine="0"/>
            </w:pPr>
            <w:r>
              <w:rPr>
                <w:sz w:val="22"/>
              </w:rPr>
              <w:t xml:space="preserve">To ensure all disadvantaged students have equal access to extracurricular activities and financially dependent curriculum activities.  </w:t>
            </w:r>
          </w:p>
          <w:p w14:paraId="1E67642B"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 </w:t>
            </w:r>
          </w:p>
        </w:tc>
        <w:tc>
          <w:tcPr>
            <w:tcW w:w="4256" w:type="dxa"/>
            <w:tcBorders>
              <w:top w:val="single" w:sz="4" w:space="0" w:color="000000"/>
              <w:left w:val="single" w:sz="4" w:space="0" w:color="000000"/>
              <w:bottom w:val="single" w:sz="4" w:space="0" w:color="000000"/>
              <w:right w:val="single" w:sz="4" w:space="0" w:color="000000"/>
            </w:tcBorders>
          </w:tcPr>
          <w:p w14:paraId="7F7A97D0"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Cultural capital is a key element in early years education, essential for helping </w:t>
            </w:r>
          </w:p>
          <w:p w14:paraId="1D1F10B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9" w:firstLine="0"/>
              <w:jc w:val="center"/>
            </w:pPr>
            <w:r>
              <w:rPr>
                <w:sz w:val="22"/>
              </w:rPr>
              <w:t xml:space="preserve">children succeed in the future. It's about </w:t>
            </w:r>
          </w:p>
          <w:p w14:paraId="4BD1ADAD" w14:textId="77777777" w:rsidR="009972EC" w:rsidRDefault="004F6FE1">
            <w:pPr>
              <w:pBdr>
                <w:top w:val="none" w:sz="0" w:space="0" w:color="auto"/>
                <w:left w:val="none" w:sz="0" w:space="0" w:color="auto"/>
                <w:bottom w:val="none" w:sz="0" w:space="0" w:color="auto"/>
                <w:right w:val="none" w:sz="0" w:space="0" w:color="auto"/>
              </w:pBdr>
              <w:spacing w:after="60" w:line="239" w:lineRule="auto"/>
              <w:ind w:left="8" w:right="10" w:firstLine="0"/>
              <w:jc w:val="center"/>
            </w:pPr>
            <w:r>
              <w:rPr>
                <w:sz w:val="22"/>
              </w:rPr>
              <w:t xml:space="preserve">providing children with diverse experiences and knowledge that enrich their learning and development. </w:t>
            </w:r>
          </w:p>
          <w:p w14:paraId="46009439" w14:textId="77777777" w:rsidR="009972EC" w:rsidRDefault="004F6FE1">
            <w:pPr>
              <w:pBdr>
                <w:top w:val="none" w:sz="0" w:space="0" w:color="auto"/>
                <w:left w:val="none" w:sz="0" w:space="0" w:color="auto"/>
                <w:bottom w:val="none" w:sz="0" w:space="0" w:color="auto"/>
                <w:right w:val="none" w:sz="0" w:space="0" w:color="auto"/>
              </w:pBdr>
              <w:spacing w:after="35" w:line="259" w:lineRule="auto"/>
              <w:ind w:left="0" w:right="1" w:firstLine="0"/>
              <w:jc w:val="center"/>
            </w:pPr>
            <w:r>
              <w:rPr>
                <w:sz w:val="22"/>
              </w:rPr>
              <w:t xml:space="preserve"> </w:t>
            </w:r>
          </w:p>
          <w:p w14:paraId="1F432866"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7" w:firstLine="0"/>
              <w:jc w:val="center"/>
            </w:pPr>
            <w:hyperlink r:id="rId42">
              <w:r>
                <w:rPr>
                  <w:color w:val="0000FF"/>
                  <w:sz w:val="22"/>
                  <w:u w:val="single" w:color="0000FF"/>
                </w:rPr>
                <w:t>EEF Learning About Culture</w:t>
              </w:r>
            </w:hyperlink>
            <w:hyperlink r:id="rId43">
              <w:r>
                <w:rPr>
                  <w:sz w:val="22"/>
                </w:rPr>
                <w:t xml:space="preserve"> </w:t>
              </w:r>
            </w:hyperlink>
          </w:p>
        </w:tc>
        <w:tc>
          <w:tcPr>
            <w:tcW w:w="2544" w:type="dxa"/>
            <w:tcBorders>
              <w:top w:val="single" w:sz="4" w:space="0" w:color="000000"/>
              <w:left w:val="single" w:sz="4" w:space="0" w:color="000000"/>
              <w:bottom w:val="single" w:sz="4" w:space="0" w:color="000000"/>
              <w:right w:val="single" w:sz="4" w:space="0" w:color="000000"/>
            </w:tcBorders>
            <w:vAlign w:val="center"/>
          </w:tcPr>
          <w:p w14:paraId="6E7194CA"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9" w:firstLine="0"/>
              <w:jc w:val="center"/>
            </w:pPr>
            <w:r>
              <w:rPr>
                <w:sz w:val="22"/>
              </w:rPr>
              <w:t xml:space="preserve">1 </w:t>
            </w:r>
          </w:p>
        </w:tc>
      </w:tr>
      <w:tr w:rsidR="009972EC" w14:paraId="78328DCF" w14:textId="77777777">
        <w:trPr>
          <w:trHeight w:val="2115"/>
        </w:trPr>
        <w:tc>
          <w:tcPr>
            <w:tcW w:w="2689" w:type="dxa"/>
            <w:tcBorders>
              <w:top w:val="single" w:sz="4" w:space="0" w:color="000000"/>
              <w:left w:val="single" w:sz="4" w:space="0" w:color="000000"/>
              <w:bottom w:val="single" w:sz="4" w:space="0" w:color="000000"/>
              <w:right w:val="single" w:sz="4" w:space="0" w:color="000000"/>
            </w:tcBorders>
            <w:vAlign w:val="center"/>
          </w:tcPr>
          <w:p w14:paraId="5EF5C60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reduce barrier to learning for all students allowing them to access funding to ensure that they are not disadvantaged with school uniform and equipment. </w:t>
            </w:r>
          </w:p>
        </w:tc>
        <w:tc>
          <w:tcPr>
            <w:tcW w:w="4256" w:type="dxa"/>
            <w:tcBorders>
              <w:top w:val="single" w:sz="4" w:space="0" w:color="000000"/>
              <w:left w:val="single" w:sz="4" w:space="0" w:color="000000"/>
              <w:bottom w:val="single" w:sz="4" w:space="0" w:color="000000"/>
              <w:right w:val="single" w:sz="4" w:space="0" w:color="000000"/>
            </w:tcBorders>
            <w:vAlign w:val="center"/>
          </w:tcPr>
          <w:p w14:paraId="15B9EE21"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1" w:firstLine="0"/>
              <w:jc w:val="center"/>
            </w:pPr>
            <w:r>
              <w:rPr>
                <w:sz w:val="22"/>
              </w:rPr>
              <w:t xml:space="preserve"> </w:t>
            </w:r>
          </w:p>
        </w:tc>
        <w:tc>
          <w:tcPr>
            <w:tcW w:w="2544" w:type="dxa"/>
            <w:tcBorders>
              <w:top w:val="single" w:sz="4" w:space="0" w:color="000000"/>
              <w:left w:val="single" w:sz="4" w:space="0" w:color="000000"/>
              <w:bottom w:val="single" w:sz="4" w:space="0" w:color="000000"/>
              <w:right w:val="single" w:sz="4" w:space="0" w:color="000000"/>
            </w:tcBorders>
            <w:vAlign w:val="center"/>
          </w:tcPr>
          <w:p w14:paraId="18F132B2"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51" w:firstLine="0"/>
              <w:jc w:val="center"/>
            </w:pPr>
            <w:r>
              <w:rPr>
                <w:sz w:val="22"/>
              </w:rPr>
              <w:t xml:space="preserve">2, 3 </w:t>
            </w:r>
          </w:p>
        </w:tc>
      </w:tr>
      <w:tr w:rsidR="009972EC" w14:paraId="337BFD77" w14:textId="77777777">
        <w:trPr>
          <w:trHeight w:val="2398"/>
        </w:trPr>
        <w:tc>
          <w:tcPr>
            <w:tcW w:w="2689" w:type="dxa"/>
            <w:tcBorders>
              <w:top w:val="single" w:sz="4" w:space="0" w:color="000000"/>
              <w:left w:val="single" w:sz="4" w:space="0" w:color="000000"/>
              <w:bottom w:val="single" w:sz="4" w:space="0" w:color="000000"/>
              <w:right w:val="single" w:sz="4" w:space="0" w:color="000000"/>
            </w:tcBorders>
            <w:vAlign w:val="center"/>
          </w:tcPr>
          <w:p w14:paraId="4677326A"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To develop the SAX Mindset days to further develop skills and personal qualities. </w:t>
            </w:r>
          </w:p>
        </w:tc>
        <w:tc>
          <w:tcPr>
            <w:tcW w:w="4256" w:type="dxa"/>
            <w:tcBorders>
              <w:top w:val="single" w:sz="4" w:space="0" w:color="000000"/>
              <w:left w:val="single" w:sz="4" w:space="0" w:color="000000"/>
              <w:bottom w:val="single" w:sz="4" w:space="0" w:color="000000"/>
              <w:right w:val="single" w:sz="4" w:space="0" w:color="000000"/>
            </w:tcBorders>
          </w:tcPr>
          <w:p w14:paraId="65D5DBDB" w14:textId="77777777" w:rsidR="009972EC" w:rsidRDefault="004F6FE1">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Cultural capital is a key element in early years education, essential for helping </w:t>
            </w:r>
          </w:p>
          <w:p w14:paraId="5860481C"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9" w:firstLine="0"/>
              <w:jc w:val="center"/>
            </w:pPr>
            <w:r>
              <w:rPr>
                <w:sz w:val="22"/>
              </w:rPr>
              <w:t xml:space="preserve">children succeed in the future. It's about </w:t>
            </w:r>
          </w:p>
          <w:p w14:paraId="00BB3510" w14:textId="77777777" w:rsidR="009972EC" w:rsidRDefault="004F6FE1">
            <w:pPr>
              <w:pBdr>
                <w:top w:val="none" w:sz="0" w:space="0" w:color="auto"/>
                <w:left w:val="none" w:sz="0" w:space="0" w:color="auto"/>
                <w:bottom w:val="none" w:sz="0" w:space="0" w:color="auto"/>
                <w:right w:val="none" w:sz="0" w:space="0" w:color="auto"/>
              </w:pBdr>
              <w:spacing w:after="61" w:line="238" w:lineRule="auto"/>
              <w:ind w:left="8" w:right="12" w:firstLine="0"/>
              <w:jc w:val="center"/>
            </w:pPr>
            <w:r>
              <w:rPr>
                <w:sz w:val="22"/>
              </w:rPr>
              <w:t xml:space="preserve">providing children with diverse experiences and knowledge that enrich their learning and development. </w:t>
            </w:r>
          </w:p>
          <w:p w14:paraId="28EF66F4" w14:textId="77777777" w:rsidR="009972EC" w:rsidRDefault="004F6FE1">
            <w:pPr>
              <w:pBdr>
                <w:top w:val="none" w:sz="0" w:space="0" w:color="auto"/>
                <w:left w:val="none" w:sz="0" w:space="0" w:color="auto"/>
                <w:bottom w:val="none" w:sz="0" w:space="0" w:color="auto"/>
                <w:right w:val="none" w:sz="0" w:space="0" w:color="auto"/>
              </w:pBdr>
              <w:spacing w:after="38" w:line="259" w:lineRule="auto"/>
              <w:ind w:left="0" w:right="1" w:firstLine="0"/>
              <w:jc w:val="center"/>
            </w:pPr>
            <w:r>
              <w:rPr>
                <w:sz w:val="22"/>
              </w:rPr>
              <w:t xml:space="preserve"> </w:t>
            </w:r>
          </w:p>
          <w:p w14:paraId="034D64B4"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7" w:firstLine="0"/>
              <w:jc w:val="center"/>
            </w:pPr>
            <w:hyperlink r:id="rId44">
              <w:r>
                <w:rPr>
                  <w:color w:val="0000FF"/>
                  <w:sz w:val="22"/>
                  <w:u w:val="single" w:color="0000FF"/>
                </w:rPr>
                <w:t>EEF Learning About Culture</w:t>
              </w:r>
            </w:hyperlink>
            <w:hyperlink r:id="rId45">
              <w:r>
                <w:rPr>
                  <w:sz w:val="22"/>
                </w:rPr>
                <w:t xml:space="preserve"> </w:t>
              </w:r>
            </w:hyperlink>
          </w:p>
        </w:tc>
        <w:tc>
          <w:tcPr>
            <w:tcW w:w="2544" w:type="dxa"/>
            <w:tcBorders>
              <w:top w:val="single" w:sz="4" w:space="0" w:color="000000"/>
              <w:left w:val="single" w:sz="4" w:space="0" w:color="000000"/>
              <w:bottom w:val="single" w:sz="4" w:space="0" w:color="000000"/>
              <w:right w:val="single" w:sz="4" w:space="0" w:color="000000"/>
            </w:tcBorders>
            <w:vAlign w:val="center"/>
          </w:tcPr>
          <w:p w14:paraId="4B1D0600"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49" w:firstLine="0"/>
              <w:jc w:val="center"/>
            </w:pPr>
            <w:r>
              <w:rPr>
                <w:sz w:val="22"/>
              </w:rPr>
              <w:t xml:space="preserve">1 </w:t>
            </w:r>
          </w:p>
        </w:tc>
      </w:tr>
      <w:tr w:rsidR="00F027D4" w14:paraId="4C51C31A" w14:textId="77777777" w:rsidTr="002E3108">
        <w:trPr>
          <w:trHeight w:val="2886"/>
        </w:trPr>
        <w:tc>
          <w:tcPr>
            <w:tcW w:w="2689" w:type="dxa"/>
            <w:tcBorders>
              <w:top w:val="single" w:sz="4" w:space="0" w:color="000000"/>
              <w:left w:val="single" w:sz="4" w:space="0" w:color="000000"/>
              <w:right w:val="single" w:sz="4" w:space="0" w:color="000000"/>
            </w:tcBorders>
          </w:tcPr>
          <w:p w14:paraId="36B78DA8"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Year 6 SAX Mindset </w:t>
            </w:r>
          </w:p>
          <w:p w14:paraId="480D3141"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0" w:firstLine="0"/>
            </w:pPr>
            <w:r>
              <w:rPr>
                <w:sz w:val="22"/>
              </w:rPr>
              <w:t xml:space="preserve">familiarisation visits for </w:t>
            </w:r>
          </w:p>
          <w:p w14:paraId="3AC22E30" w14:textId="3D276C78" w:rsidR="00F027D4" w:rsidRDefault="00F027D4" w:rsidP="0050293A">
            <w:pPr>
              <w:spacing w:after="0" w:line="259" w:lineRule="auto"/>
              <w:ind w:left="0"/>
            </w:pPr>
            <w:r>
              <w:rPr>
                <w:sz w:val="22"/>
              </w:rPr>
              <w:t xml:space="preserve">vulnerable disadvantaged students. The focus is to support transition and reduce barriers to learning and improve engagement of targeted families. </w:t>
            </w:r>
          </w:p>
        </w:tc>
        <w:tc>
          <w:tcPr>
            <w:tcW w:w="4256" w:type="dxa"/>
            <w:tcBorders>
              <w:top w:val="single" w:sz="4" w:space="0" w:color="000000"/>
              <w:left w:val="single" w:sz="4" w:space="0" w:color="000000"/>
              <w:right w:val="single" w:sz="4" w:space="0" w:color="000000"/>
            </w:tcBorders>
          </w:tcPr>
          <w:p w14:paraId="641026EA"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7" w:right="8" w:firstLine="0"/>
              <w:jc w:val="center"/>
            </w:pPr>
            <w:r>
              <w:rPr>
                <w:sz w:val="22"/>
              </w:rPr>
              <w:t xml:space="preserve">‘... schools boost the self-esteem, aspirations and work ethic of more </w:t>
            </w:r>
          </w:p>
          <w:p w14:paraId="5AB1C416"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0" w:right="13" w:firstLine="0"/>
              <w:jc w:val="center"/>
            </w:pPr>
            <w:r>
              <w:rPr>
                <w:sz w:val="22"/>
              </w:rPr>
              <w:t xml:space="preserve">vulnerable children, many of whom are on </w:t>
            </w:r>
          </w:p>
          <w:p w14:paraId="70BC5B1A" w14:textId="77777777" w:rsidR="00F027D4" w:rsidRDefault="00F027D4">
            <w:pPr>
              <w:pBdr>
                <w:top w:val="none" w:sz="0" w:space="0" w:color="auto"/>
                <w:left w:val="none" w:sz="0" w:space="0" w:color="auto"/>
                <w:bottom w:val="none" w:sz="0" w:space="0" w:color="auto"/>
                <w:right w:val="none" w:sz="0" w:space="0" w:color="auto"/>
              </w:pBdr>
              <w:spacing w:after="2" w:line="237" w:lineRule="auto"/>
              <w:ind w:left="0" w:firstLine="0"/>
              <w:jc w:val="center"/>
            </w:pPr>
            <w:r>
              <w:rPr>
                <w:sz w:val="22"/>
              </w:rPr>
              <w:t xml:space="preserve">Free School Meals’ Linsell (2012). Alexander et al (2007) highlighted, ‘students lose a </w:t>
            </w:r>
          </w:p>
          <w:p w14:paraId="04FFEFDB"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0" w:right="8" w:firstLine="0"/>
              <w:jc w:val="center"/>
            </w:pPr>
            <w:r>
              <w:rPr>
                <w:sz w:val="22"/>
              </w:rPr>
              <w:t xml:space="preserve">month’s learning over the summer break. </w:t>
            </w:r>
          </w:p>
          <w:p w14:paraId="69A15E53" w14:textId="77777777" w:rsidR="00F027D4" w:rsidRDefault="00F027D4">
            <w:pPr>
              <w:pBdr>
                <w:top w:val="none" w:sz="0" w:space="0" w:color="auto"/>
                <w:left w:val="none" w:sz="0" w:space="0" w:color="auto"/>
                <w:bottom w:val="none" w:sz="0" w:space="0" w:color="auto"/>
                <w:right w:val="none" w:sz="0" w:space="0" w:color="auto"/>
              </w:pBdr>
              <w:spacing w:after="0" w:line="239" w:lineRule="auto"/>
              <w:ind w:left="0" w:firstLine="0"/>
              <w:jc w:val="center"/>
            </w:pPr>
            <w:r>
              <w:rPr>
                <w:sz w:val="22"/>
              </w:rPr>
              <w:t xml:space="preserve">And while this “summer slide” is likely to affect most students, it was estimated as </w:t>
            </w:r>
          </w:p>
          <w:p w14:paraId="4672BE34" w14:textId="6EAC9813" w:rsidR="00F027D4" w:rsidRDefault="00F027D4" w:rsidP="0052741A">
            <w:pPr>
              <w:spacing w:after="0" w:line="259" w:lineRule="auto"/>
              <w:ind w:left="0"/>
              <w:jc w:val="center"/>
            </w:pPr>
            <w:r>
              <w:rPr>
                <w:sz w:val="22"/>
              </w:rPr>
              <w:t xml:space="preserve">being three times as severe for students from disadvantaged families’ </w:t>
            </w:r>
          </w:p>
        </w:tc>
        <w:tc>
          <w:tcPr>
            <w:tcW w:w="2544" w:type="dxa"/>
            <w:tcBorders>
              <w:top w:val="single" w:sz="4" w:space="0" w:color="000000"/>
              <w:left w:val="single" w:sz="4" w:space="0" w:color="000000"/>
              <w:right w:val="single" w:sz="4" w:space="0" w:color="000000"/>
            </w:tcBorders>
            <w:vAlign w:val="center"/>
          </w:tcPr>
          <w:p w14:paraId="3AF7B7C5" w14:textId="77777777" w:rsidR="00F027D4" w:rsidRDefault="00F027D4">
            <w:pPr>
              <w:pBdr>
                <w:top w:val="none" w:sz="0" w:space="0" w:color="auto"/>
                <w:left w:val="none" w:sz="0" w:space="0" w:color="auto"/>
                <w:bottom w:val="none" w:sz="0" w:space="0" w:color="auto"/>
                <w:right w:val="none" w:sz="0" w:space="0" w:color="auto"/>
              </w:pBdr>
              <w:spacing w:after="0" w:line="259" w:lineRule="auto"/>
              <w:ind w:left="0" w:right="50" w:firstLine="0"/>
              <w:jc w:val="center"/>
            </w:pPr>
            <w:r>
              <w:rPr>
                <w:sz w:val="22"/>
              </w:rPr>
              <w:t xml:space="preserve">2 </w:t>
            </w:r>
          </w:p>
        </w:tc>
      </w:tr>
    </w:tbl>
    <w:p w14:paraId="4A62B1C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4779" w:firstLine="0"/>
        <w:jc w:val="both"/>
      </w:pPr>
      <w:r>
        <w:rPr>
          <w:rFonts w:ascii="Arial" w:eastAsia="Arial" w:hAnsi="Arial" w:cs="Arial"/>
        </w:rPr>
        <w:lastRenderedPageBreak/>
        <w:t xml:space="preserve"> </w:t>
      </w:r>
    </w:p>
    <w:p w14:paraId="474B3A78" w14:textId="77777777" w:rsidR="009972EC" w:rsidRDefault="004F6FE1">
      <w:pPr>
        <w:pStyle w:val="Heading1"/>
        <w:ind w:left="-5"/>
      </w:pPr>
      <w:r>
        <w:t xml:space="preserve">Part B: Review of the previous academic year </w:t>
      </w:r>
    </w:p>
    <w:p w14:paraId="2C0EEE41" w14:textId="77777777" w:rsidR="009972EC" w:rsidRDefault="004F6FE1">
      <w:pPr>
        <w:pStyle w:val="Heading2"/>
        <w:ind w:left="-5"/>
      </w:pPr>
      <w:r>
        <w:t xml:space="preserve">Outcomes for disadvantaged pupils </w:t>
      </w:r>
    </w:p>
    <w:p w14:paraId="5261B7A7" w14:textId="78315DED" w:rsidR="009972EC" w:rsidRDefault="007501BA">
      <w:pPr>
        <w:pBdr>
          <w:top w:val="none" w:sz="0" w:space="0" w:color="auto"/>
          <w:left w:val="none" w:sz="0" w:space="0" w:color="auto"/>
          <w:bottom w:val="none" w:sz="0" w:space="0" w:color="auto"/>
          <w:right w:val="none" w:sz="0" w:space="0" w:color="auto"/>
        </w:pBdr>
        <w:spacing w:after="5211" w:line="259" w:lineRule="auto"/>
        <w:ind w:left="0" w:firstLine="0"/>
      </w:pPr>
      <w:r w:rsidRPr="007501BA">
        <w:rPr>
          <w:noProof/>
        </w:rPr>
        <w:drawing>
          <wp:inline distT="0" distB="0" distL="0" distR="0" wp14:anchorId="3813D1D0" wp14:editId="7790F2B8">
            <wp:extent cx="5984240" cy="4346575"/>
            <wp:effectExtent l="0" t="0" r="0" b="0"/>
            <wp:docPr id="131218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85496" name=""/>
                    <pic:cNvPicPr/>
                  </pic:nvPicPr>
                  <pic:blipFill>
                    <a:blip r:embed="rId46"/>
                    <a:stretch>
                      <a:fillRect/>
                    </a:stretch>
                  </pic:blipFill>
                  <pic:spPr>
                    <a:xfrm>
                      <a:off x="0" y="0"/>
                      <a:ext cx="5984240" cy="4346575"/>
                    </a:xfrm>
                    <a:prstGeom prst="rect">
                      <a:avLst/>
                    </a:prstGeom>
                  </pic:spPr>
                </pic:pic>
              </a:graphicData>
            </a:graphic>
          </wp:inline>
        </w:drawing>
      </w:r>
      <w:r w:rsidRPr="007501BA">
        <w:rPr>
          <w:noProof/>
        </w:rPr>
        <w:drawing>
          <wp:inline distT="0" distB="0" distL="0" distR="0" wp14:anchorId="18ED351A" wp14:editId="7420A682">
            <wp:extent cx="5984240" cy="3216910"/>
            <wp:effectExtent l="0" t="0" r="0" b="2540"/>
            <wp:docPr id="940366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66683" name=""/>
                    <pic:cNvPicPr/>
                  </pic:nvPicPr>
                  <pic:blipFill>
                    <a:blip r:embed="rId47"/>
                    <a:stretch>
                      <a:fillRect/>
                    </a:stretch>
                  </pic:blipFill>
                  <pic:spPr>
                    <a:xfrm>
                      <a:off x="0" y="0"/>
                      <a:ext cx="5984240" cy="3216910"/>
                    </a:xfrm>
                    <a:prstGeom prst="rect">
                      <a:avLst/>
                    </a:prstGeom>
                  </pic:spPr>
                </pic:pic>
              </a:graphicData>
            </a:graphic>
          </wp:inline>
        </w:drawing>
      </w:r>
    </w:p>
    <w:p w14:paraId="502FA234" w14:textId="5D7A4A63" w:rsidR="007501BA" w:rsidRPr="007501BA" w:rsidRDefault="007501BA" w:rsidP="007501BA">
      <w:pPr>
        <w:pBdr>
          <w:top w:val="none" w:sz="0" w:space="0" w:color="auto"/>
          <w:left w:val="none" w:sz="0" w:space="0" w:color="auto"/>
          <w:bottom w:val="none" w:sz="0" w:space="0" w:color="auto"/>
          <w:right w:val="none" w:sz="0" w:space="0" w:color="auto"/>
        </w:pBdr>
        <w:tabs>
          <w:tab w:val="num" w:pos="720"/>
        </w:tabs>
        <w:spacing w:after="5211" w:line="259" w:lineRule="auto"/>
        <w:ind w:left="0" w:firstLine="0"/>
      </w:pPr>
      <w:r w:rsidRPr="007501BA">
        <w:rPr>
          <w:noProof/>
        </w:rPr>
        <w:lastRenderedPageBreak/>
        <w:drawing>
          <wp:inline distT="0" distB="0" distL="0" distR="0" wp14:anchorId="7A05C9DB" wp14:editId="1B45A901">
            <wp:extent cx="5984240" cy="5687060"/>
            <wp:effectExtent l="0" t="0" r="0" b="8890"/>
            <wp:docPr id="495875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75676" name=""/>
                    <pic:cNvPicPr/>
                  </pic:nvPicPr>
                  <pic:blipFill>
                    <a:blip r:embed="rId48"/>
                    <a:stretch>
                      <a:fillRect/>
                    </a:stretch>
                  </pic:blipFill>
                  <pic:spPr>
                    <a:xfrm>
                      <a:off x="0" y="0"/>
                      <a:ext cx="5984240" cy="5687060"/>
                    </a:xfrm>
                    <a:prstGeom prst="rect">
                      <a:avLst/>
                    </a:prstGeom>
                  </pic:spPr>
                </pic:pic>
              </a:graphicData>
            </a:graphic>
          </wp:inline>
        </w:drawing>
      </w:r>
      <w:r>
        <w:t xml:space="preserve">  </w:t>
      </w:r>
      <w:r w:rsidRPr="007501BA">
        <w:rPr>
          <w:u w:val="single"/>
        </w:rPr>
        <w:t>Subjects/Areas of strength</w:t>
      </w:r>
      <w:r w:rsidRPr="007501BA">
        <w:rPr>
          <w:b/>
          <w:bCs/>
        </w:rPr>
        <w:t> </w:t>
      </w:r>
      <w:r>
        <w:rPr>
          <w:b/>
          <w:bCs/>
        </w:rPr>
        <w:t xml:space="preserve">                                                                                                                                                                            </w:t>
      </w:r>
      <w:r w:rsidRPr="007501BA">
        <w:t>Increase in both progress 8 and attainment 8 for Pupil Premium students, with this group achieving a positive progress 8 score of +0.21 (NA for this group in 2024 was -0.9)</w:t>
      </w:r>
      <w:r>
        <w:t xml:space="preserve"> </w:t>
      </w:r>
      <w:r w:rsidRPr="007501BA">
        <w:t>Pupil Premium students made positive progress in 13 subjects in 2024/25 compared to only 11 in 2023/24. Pupil Premium students made above average progress (green and blue) in six subjects in 2024/25 compared to only five in 2023/2024. There were notable improvements from 2023/24 (more than +0.2) in Combined Science, Geography, Health and Social Care, Physics and Spanish</w:t>
      </w:r>
    </w:p>
    <w:p w14:paraId="09CF524B" w14:textId="6A3D2102" w:rsidR="009972EC" w:rsidRDefault="007501BA" w:rsidP="007501BA">
      <w:pPr>
        <w:pBdr>
          <w:top w:val="none" w:sz="0" w:space="0" w:color="auto"/>
          <w:left w:val="none" w:sz="0" w:space="0" w:color="auto"/>
          <w:bottom w:val="none" w:sz="0" w:space="0" w:color="auto"/>
          <w:right w:val="none" w:sz="0" w:space="0" w:color="auto"/>
        </w:pBdr>
        <w:tabs>
          <w:tab w:val="num" w:pos="720"/>
        </w:tabs>
        <w:spacing w:after="5211" w:line="259" w:lineRule="auto"/>
        <w:ind w:left="0" w:firstLine="0"/>
      </w:pPr>
      <w:r w:rsidRPr="007501BA">
        <w:rPr>
          <w:b/>
          <w:bCs/>
          <w:u w:val="single"/>
        </w:rPr>
        <w:lastRenderedPageBreak/>
        <w:t>Areas for development</w:t>
      </w:r>
      <w:r>
        <w:rPr>
          <w:b/>
          <w:bCs/>
          <w:u w:val="single"/>
        </w:rPr>
        <w:t xml:space="preserve">                                                                                                                                       </w:t>
      </w:r>
      <w:r>
        <w:rPr>
          <w:b/>
          <w:bCs/>
        </w:rPr>
        <w:t xml:space="preserve"> </w:t>
      </w:r>
      <w:r w:rsidRPr="007501BA">
        <w:t>The attainment 8 gap between Pupil Premium students and their non-Pupil Premium peers widened by 1.53 (gap 12.92 in 24/25 versus 11.33 in 23/24). Pupil Premium students in History made significantly less progress than Pupil Premium students in Geography and progress fell by from 2024/24 by 1.16. Pupil Premium students achieved 10% fewer 9-7 grades in English Literature than Languag</w:t>
      </w:r>
      <w:r>
        <w:t xml:space="preserve">e.                                                                                                                                                           </w:t>
      </w:r>
      <w:r w:rsidRPr="007501BA">
        <w:rPr>
          <w:b/>
          <w:bCs/>
          <w:u w:val="single"/>
        </w:rPr>
        <w:t>Nextsteps/actions</w:t>
      </w:r>
      <w:r w:rsidRPr="007501BA">
        <w:rPr>
          <w:b/>
          <w:bCs/>
        </w:rPr>
        <w:t> </w:t>
      </w:r>
      <w:r>
        <w:rPr>
          <w:b/>
          <w:bCs/>
        </w:rPr>
        <w:t xml:space="preserve">                                                                                                                                                                </w:t>
      </w:r>
      <w:r w:rsidRPr="007501BA">
        <w:t>Sixteen Pupil Premium students are being mentored by SLT on a weekly basis. Students have been strategically placed with SLT to improve their English and/or Maths grade and support with study skills. This group of students are now a standing agenda item at SLT meetings. Thirty students have been selected for additional English and Maths lesson every week in PE/tutor time to ensure an increase in matching of grade 4 basics in English or Maths. Students will be reviewed after first assessment point (October) with intervention groups fluid throughout the year. Increase attendance of Pupil Premium students at holiday revision sessions for History by providing incentives to attend (i.e. offering food and rewards). Hard copies of all revision materials will be given to all Pupil Premium students unable to attend, with session also streamed and recorded on Teams for the first time to allow Pupil Premium students access to the sessions at home and/or in school. Pupil Premium students receiving SLT mentoring to get Literature specific help during mentoring sessions from SLT who English specialists are (Principal and Assistant Principal: Teaching and Learning). </w:t>
      </w:r>
    </w:p>
    <w:sectPr w:rsidR="009972EC">
      <w:footerReference w:type="even" r:id="rId49"/>
      <w:footerReference w:type="default" r:id="rId50"/>
      <w:footerReference w:type="first" r:id="rId51"/>
      <w:pgSz w:w="11906" w:h="16838"/>
      <w:pgMar w:top="1138" w:right="1349" w:bottom="713" w:left="1133"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2F1D" w14:textId="77777777" w:rsidR="004F6FE1" w:rsidRDefault="004F6FE1">
      <w:pPr>
        <w:spacing w:after="0" w:line="240" w:lineRule="auto"/>
      </w:pPr>
      <w:r>
        <w:separator/>
      </w:r>
    </w:p>
  </w:endnote>
  <w:endnote w:type="continuationSeparator" w:id="0">
    <w:p w14:paraId="02F250F0" w14:textId="77777777" w:rsidR="004F6FE1" w:rsidRDefault="004F6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5088"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265" w:firstLine="0"/>
      <w:jc w:val="center"/>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2E8A"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265" w:firstLine="0"/>
      <w:jc w:val="center"/>
    </w:pPr>
    <w:r>
      <w:fldChar w:fldCharType="begin"/>
    </w:r>
    <w:r>
      <w:instrText xml:space="preserve"> PAGE   \* MERGEFORMAT </w:instrText>
    </w:r>
    <w:r>
      <w:fldChar w:fldCharType="separate"/>
    </w:r>
    <w:r w:rsidR="00C53C0E" w:rsidRPr="00C53C0E">
      <w:rPr>
        <w:rFonts w:ascii="Arial" w:eastAsia="Arial" w:hAnsi="Arial" w:cs="Arial"/>
        <w:noProof/>
      </w:rPr>
      <w:t>2</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A429" w14:textId="77777777" w:rsidR="009972EC" w:rsidRDefault="004F6FE1">
    <w:pPr>
      <w:pBdr>
        <w:top w:val="none" w:sz="0" w:space="0" w:color="auto"/>
        <w:left w:val="none" w:sz="0" w:space="0" w:color="auto"/>
        <w:bottom w:val="none" w:sz="0" w:space="0" w:color="auto"/>
        <w:right w:val="none" w:sz="0" w:space="0" w:color="auto"/>
      </w:pBdr>
      <w:spacing w:after="0" w:line="259" w:lineRule="auto"/>
      <w:ind w:left="0" w:right="265" w:firstLine="0"/>
      <w:jc w:val="center"/>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7F64" w14:textId="77777777" w:rsidR="004F6FE1" w:rsidRDefault="004F6FE1">
      <w:pPr>
        <w:spacing w:after="0" w:line="240" w:lineRule="auto"/>
      </w:pPr>
      <w:r>
        <w:separator/>
      </w:r>
    </w:p>
  </w:footnote>
  <w:footnote w:type="continuationSeparator" w:id="0">
    <w:p w14:paraId="426D9743" w14:textId="77777777" w:rsidR="004F6FE1" w:rsidRDefault="004F6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D0C4E"/>
    <w:multiLevelType w:val="multilevel"/>
    <w:tmpl w:val="5D20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776A7"/>
    <w:multiLevelType w:val="multilevel"/>
    <w:tmpl w:val="76A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F638B7"/>
    <w:multiLevelType w:val="hybridMultilevel"/>
    <w:tmpl w:val="1C647600"/>
    <w:lvl w:ilvl="0" w:tplc="5E520EA2">
      <w:start w:val="1"/>
      <w:numFmt w:val="bullet"/>
      <w:lvlText w:val="•"/>
      <w:lvlJc w:val="left"/>
      <w:pPr>
        <w:ind w:left="16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C6D0C4CE">
      <w:start w:val="1"/>
      <w:numFmt w:val="bullet"/>
      <w:lvlText w:val="o"/>
      <w:lvlJc w:val="left"/>
      <w:pPr>
        <w:ind w:left="118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917EF744">
      <w:start w:val="1"/>
      <w:numFmt w:val="bullet"/>
      <w:lvlText w:val="▪"/>
      <w:lvlJc w:val="left"/>
      <w:pPr>
        <w:ind w:left="19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71427FBC">
      <w:start w:val="1"/>
      <w:numFmt w:val="bullet"/>
      <w:lvlText w:val="•"/>
      <w:lvlJc w:val="left"/>
      <w:pPr>
        <w:ind w:left="262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C8445C92">
      <w:start w:val="1"/>
      <w:numFmt w:val="bullet"/>
      <w:lvlText w:val="o"/>
      <w:lvlJc w:val="left"/>
      <w:pPr>
        <w:ind w:left="334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DEC6E778">
      <w:start w:val="1"/>
      <w:numFmt w:val="bullet"/>
      <w:lvlText w:val="▪"/>
      <w:lvlJc w:val="left"/>
      <w:pPr>
        <w:ind w:left="406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744AB4CA">
      <w:start w:val="1"/>
      <w:numFmt w:val="bullet"/>
      <w:lvlText w:val="•"/>
      <w:lvlJc w:val="left"/>
      <w:pPr>
        <w:ind w:left="478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175C7C78">
      <w:start w:val="1"/>
      <w:numFmt w:val="bullet"/>
      <w:lvlText w:val="o"/>
      <w:lvlJc w:val="left"/>
      <w:pPr>
        <w:ind w:left="55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65A7748">
      <w:start w:val="1"/>
      <w:numFmt w:val="bullet"/>
      <w:lvlText w:val="▪"/>
      <w:lvlJc w:val="left"/>
      <w:pPr>
        <w:ind w:left="622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3" w15:restartNumberingAfterBreak="0">
    <w:nsid w:val="5495110C"/>
    <w:multiLevelType w:val="hybridMultilevel"/>
    <w:tmpl w:val="4C8284EE"/>
    <w:lvl w:ilvl="0" w:tplc="22766B38">
      <w:start w:val="1"/>
      <w:numFmt w:val="bullet"/>
      <w:lvlText w:val="•"/>
      <w:lvlJc w:val="left"/>
      <w:pPr>
        <w:ind w:left="16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9D5A1374">
      <w:start w:val="1"/>
      <w:numFmt w:val="bullet"/>
      <w:lvlText w:val="o"/>
      <w:lvlJc w:val="left"/>
      <w:pPr>
        <w:ind w:left="118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A306B45A">
      <w:start w:val="1"/>
      <w:numFmt w:val="bullet"/>
      <w:lvlText w:val="▪"/>
      <w:lvlJc w:val="left"/>
      <w:pPr>
        <w:ind w:left="19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931E7802">
      <w:start w:val="1"/>
      <w:numFmt w:val="bullet"/>
      <w:lvlText w:val="•"/>
      <w:lvlJc w:val="left"/>
      <w:pPr>
        <w:ind w:left="262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56A2FBD2">
      <w:start w:val="1"/>
      <w:numFmt w:val="bullet"/>
      <w:lvlText w:val="o"/>
      <w:lvlJc w:val="left"/>
      <w:pPr>
        <w:ind w:left="334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4984B256">
      <w:start w:val="1"/>
      <w:numFmt w:val="bullet"/>
      <w:lvlText w:val="▪"/>
      <w:lvlJc w:val="left"/>
      <w:pPr>
        <w:ind w:left="406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251AC17A">
      <w:start w:val="1"/>
      <w:numFmt w:val="bullet"/>
      <w:lvlText w:val="•"/>
      <w:lvlJc w:val="left"/>
      <w:pPr>
        <w:ind w:left="478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1B5C1100">
      <w:start w:val="1"/>
      <w:numFmt w:val="bullet"/>
      <w:lvlText w:val="o"/>
      <w:lvlJc w:val="left"/>
      <w:pPr>
        <w:ind w:left="55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909AC7B2">
      <w:start w:val="1"/>
      <w:numFmt w:val="bullet"/>
      <w:lvlText w:val="▪"/>
      <w:lvlJc w:val="left"/>
      <w:pPr>
        <w:ind w:left="622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abstractNum w:abstractNumId="4" w15:restartNumberingAfterBreak="0">
    <w:nsid w:val="6D313DEF"/>
    <w:multiLevelType w:val="multilevel"/>
    <w:tmpl w:val="71EE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515B18"/>
    <w:multiLevelType w:val="hybridMultilevel"/>
    <w:tmpl w:val="04BA8E72"/>
    <w:lvl w:ilvl="0" w:tplc="4560C94C">
      <w:start w:val="1"/>
      <w:numFmt w:val="bullet"/>
      <w:lvlText w:val="•"/>
      <w:lvlJc w:val="left"/>
      <w:pPr>
        <w:ind w:left="16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1" w:tplc="F140B98A">
      <w:start w:val="1"/>
      <w:numFmt w:val="bullet"/>
      <w:lvlText w:val="o"/>
      <w:lvlJc w:val="left"/>
      <w:pPr>
        <w:ind w:left="118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2" w:tplc="62920C28">
      <w:start w:val="1"/>
      <w:numFmt w:val="bullet"/>
      <w:lvlText w:val="▪"/>
      <w:lvlJc w:val="left"/>
      <w:pPr>
        <w:ind w:left="19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3" w:tplc="D578E69C">
      <w:start w:val="1"/>
      <w:numFmt w:val="bullet"/>
      <w:lvlText w:val="•"/>
      <w:lvlJc w:val="left"/>
      <w:pPr>
        <w:ind w:left="262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4" w:tplc="6FFC7CFE">
      <w:start w:val="1"/>
      <w:numFmt w:val="bullet"/>
      <w:lvlText w:val="o"/>
      <w:lvlJc w:val="left"/>
      <w:pPr>
        <w:ind w:left="334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5" w:tplc="A830E090">
      <w:start w:val="1"/>
      <w:numFmt w:val="bullet"/>
      <w:lvlText w:val="▪"/>
      <w:lvlJc w:val="left"/>
      <w:pPr>
        <w:ind w:left="406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6" w:tplc="A622DE14">
      <w:start w:val="1"/>
      <w:numFmt w:val="bullet"/>
      <w:lvlText w:val="•"/>
      <w:lvlJc w:val="left"/>
      <w:pPr>
        <w:ind w:left="4788"/>
      </w:pPr>
      <w:rPr>
        <w:rFonts w:ascii="Arial" w:eastAsia="Arial" w:hAnsi="Arial" w:cs="Arial"/>
        <w:b w:val="0"/>
        <w:i w:val="0"/>
        <w:strike w:val="0"/>
        <w:dstrike w:val="0"/>
        <w:color w:val="0D0D0D"/>
        <w:sz w:val="22"/>
        <w:szCs w:val="22"/>
        <w:u w:val="none" w:color="000000"/>
        <w:bdr w:val="none" w:sz="0" w:space="0" w:color="auto"/>
        <w:shd w:val="clear" w:color="auto" w:fill="auto"/>
        <w:vertAlign w:val="baseline"/>
      </w:rPr>
    </w:lvl>
    <w:lvl w:ilvl="7" w:tplc="2070AE02">
      <w:start w:val="1"/>
      <w:numFmt w:val="bullet"/>
      <w:lvlText w:val="o"/>
      <w:lvlJc w:val="left"/>
      <w:pPr>
        <w:ind w:left="550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lvl w:ilvl="8" w:tplc="FBACBB0E">
      <w:start w:val="1"/>
      <w:numFmt w:val="bullet"/>
      <w:lvlText w:val="▪"/>
      <w:lvlJc w:val="left"/>
      <w:pPr>
        <w:ind w:left="6228"/>
      </w:pPr>
      <w:rPr>
        <w:rFonts w:ascii="Segoe UI Symbol" w:eastAsia="Segoe UI Symbol" w:hAnsi="Segoe UI Symbol" w:cs="Segoe UI Symbol"/>
        <w:b w:val="0"/>
        <w:i w:val="0"/>
        <w:strike w:val="0"/>
        <w:dstrike w:val="0"/>
        <w:color w:val="0D0D0D"/>
        <w:sz w:val="22"/>
        <w:szCs w:val="22"/>
        <w:u w:val="none" w:color="000000"/>
        <w:bdr w:val="none" w:sz="0" w:space="0" w:color="auto"/>
        <w:shd w:val="clear" w:color="auto" w:fill="auto"/>
        <w:vertAlign w:val="baseline"/>
      </w:rPr>
    </w:lvl>
  </w:abstractNum>
  <w:num w:numId="1" w16cid:durableId="694814388">
    <w:abstractNumId w:val="5"/>
  </w:num>
  <w:num w:numId="2" w16cid:durableId="1312365356">
    <w:abstractNumId w:val="3"/>
  </w:num>
  <w:num w:numId="3" w16cid:durableId="1870293437">
    <w:abstractNumId w:val="2"/>
  </w:num>
  <w:num w:numId="4" w16cid:durableId="2115707419">
    <w:abstractNumId w:val="4"/>
  </w:num>
  <w:num w:numId="5" w16cid:durableId="1768697236">
    <w:abstractNumId w:val="0"/>
  </w:num>
  <w:num w:numId="6" w16cid:durableId="943078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2EC"/>
    <w:rsid w:val="00102F0E"/>
    <w:rsid w:val="002336D5"/>
    <w:rsid w:val="003A1C08"/>
    <w:rsid w:val="003E46D2"/>
    <w:rsid w:val="00411732"/>
    <w:rsid w:val="00417757"/>
    <w:rsid w:val="004A2547"/>
    <w:rsid w:val="004D1C2A"/>
    <w:rsid w:val="004F6FE1"/>
    <w:rsid w:val="00576139"/>
    <w:rsid w:val="005C7F64"/>
    <w:rsid w:val="007501BA"/>
    <w:rsid w:val="008803A8"/>
    <w:rsid w:val="009972EC"/>
    <w:rsid w:val="00C53C0E"/>
    <w:rsid w:val="00E03D49"/>
    <w:rsid w:val="00F027D4"/>
    <w:rsid w:val="00F36770"/>
    <w:rsid w:val="00FC4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BEEC8"/>
  <w15:docId w15:val="{63A551CD-4A98-48D7-83C5-4783FC6C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244" w:line="288" w:lineRule="auto"/>
      <w:ind w:left="125" w:hanging="10"/>
    </w:pPr>
    <w:rPr>
      <w:rFonts w:ascii="Corbel" w:eastAsia="Corbel" w:hAnsi="Corbel" w:cs="Corbel"/>
      <w:color w:val="0D0D0D"/>
      <w:sz w:val="24"/>
    </w:rPr>
  </w:style>
  <w:style w:type="paragraph" w:styleId="Heading1">
    <w:name w:val="heading 1"/>
    <w:next w:val="Normal"/>
    <w:link w:val="Heading1Char"/>
    <w:uiPriority w:val="9"/>
    <w:unhideWhenUsed/>
    <w:qFormat/>
    <w:pPr>
      <w:keepNext/>
      <w:keepLines/>
      <w:spacing w:after="407"/>
      <w:ind w:left="737" w:hanging="10"/>
      <w:outlineLvl w:val="0"/>
    </w:pPr>
    <w:rPr>
      <w:rFonts w:ascii="Corbel" w:eastAsia="Corbel" w:hAnsi="Corbel" w:cs="Corbel"/>
      <w:b/>
      <w:color w:val="7030A0"/>
      <w:sz w:val="36"/>
    </w:rPr>
  </w:style>
  <w:style w:type="paragraph" w:styleId="Heading2">
    <w:name w:val="heading 2"/>
    <w:next w:val="Normal"/>
    <w:link w:val="Heading2Char"/>
    <w:uiPriority w:val="9"/>
    <w:unhideWhenUsed/>
    <w:qFormat/>
    <w:pPr>
      <w:keepNext/>
      <w:keepLines/>
      <w:spacing w:after="141"/>
      <w:ind w:left="10" w:hanging="10"/>
      <w:outlineLvl w:val="1"/>
    </w:pPr>
    <w:rPr>
      <w:rFonts w:ascii="Corbel" w:eastAsia="Corbel" w:hAnsi="Corbel" w:cs="Corbel"/>
      <w:b/>
      <w:color w:val="7030A0"/>
      <w:sz w:val="32"/>
    </w:rPr>
  </w:style>
  <w:style w:type="paragraph" w:styleId="Heading3">
    <w:name w:val="heading 3"/>
    <w:next w:val="Normal"/>
    <w:link w:val="Heading3Char"/>
    <w:uiPriority w:val="9"/>
    <w:unhideWhenUsed/>
    <w:qFormat/>
    <w:pPr>
      <w:keepNext/>
      <w:keepLines/>
      <w:spacing w:after="0"/>
      <w:ind w:left="10" w:hanging="10"/>
      <w:outlineLvl w:val="2"/>
    </w:pPr>
    <w:rPr>
      <w:rFonts w:ascii="Corbel" w:eastAsia="Corbel" w:hAnsi="Corbel" w:cs="Corbel"/>
      <w:b/>
      <w:color w:val="7030A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rbel" w:eastAsia="Corbel" w:hAnsi="Corbel" w:cs="Corbel"/>
      <w:b/>
      <w:color w:val="7030A0"/>
      <w:sz w:val="28"/>
    </w:rPr>
  </w:style>
  <w:style w:type="character" w:customStyle="1" w:styleId="Heading2Char">
    <w:name w:val="Heading 2 Char"/>
    <w:link w:val="Heading2"/>
    <w:rPr>
      <w:rFonts w:ascii="Corbel" w:eastAsia="Corbel" w:hAnsi="Corbel" w:cs="Corbel"/>
      <w:b/>
      <w:color w:val="7030A0"/>
      <w:sz w:val="32"/>
    </w:rPr>
  </w:style>
  <w:style w:type="character" w:customStyle="1" w:styleId="Heading1Char">
    <w:name w:val="Heading 1 Char"/>
    <w:link w:val="Heading1"/>
    <w:rPr>
      <w:rFonts w:ascii="Corbel" w:eastAsia="Corbel" w:hAnsi="Corbel" w:cs="Corbel"/>
      <w:b/>
      <w:color w:val="7030A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2tic4wvo1iusb.cloudfront.net/eef-guidance-reports/effective-professional-development/EEF-Effective-Professional-Development-Guidance-Report.pdf" TargetMode="External"/><Relationship Id="rId18" Type="http://schemas.openxmlformats.org/officeDocument/2006/relationships/hyperlink" Target="https://educationendowmentfoundation.org.uk/education-evidence/teaching-learning-toolkit/teaching-assistant-interventions" TargetMode="External"/><Relationship Id="rId26" Type="http://schemas.openxmlformats.org/officeDocument/2006/relationships/hyperlink" Target="https://educationendowmentfoundation.org.uk/education-evidence/teaching-learning-toolkit/small-group-tuition" TargetMode="External"/><Relationship Id="rId39" Type="http://schemas.openxmlformats.org/officeDocument/2006/relationships/hyperlink" Target="https://www.gov.uk/government/publications/school-attendance/framework-for-securing-full-attendance-actions-for-schools-and-local-authorities" TargetMode="External"/><Relationship Id="rId21" Type="http://schemas.openxmlformats.org/officeDocument/2006/relationships/hyperlink" Target="https://educationendowmentfoundation.org.uk/education-evidence/teaching-learning-toolkit/homework" TargetMode="External"/><Relationship Id="rId34" Type="http://schemas.openxmlformats.org/officeDocument/2006/relationships/hyperlink" Target="https://www.gov.uk/government/publications/school-level-strategies-to-raise-aspirations-to-higher-education" TargetMode="External"/><Relationship Id="rId42"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47" Type="http://schemas.openxmlformats.org/officeDocument/2006/relationships/image" Target="media/image2.png"/><Relationship Id="rId50" Type="http://schemas.openxmlformats.org/officeDocument/2006/relationships/footer" Target="footer2.xml"/><Relationship Id="rId7" Type="http://schemas.openxmlformats.org/officeDocument/2006/relationships/hyperlink" Target="https://d2tic4wvo1iusb.cloudfront.net/eef-guidance-reports/effective-professional-development/EEF-Effective-Professional-Development-Guidance-Report.pdf" TargetMode="External"/><Relationship Id="rId2" Type="http://schemas.openxmlformats.org/officeDocument/2006/relationships/styles" Target="styles.xml"/><Relationship Id="rId16" Type="http://schemas.openxmlformats.org/officeDocument/2006/relationships/hyperlink" Target="https://www.suttontrust.com/news-opinion/all-news-opinion/thousands-of-disadvantaged-pupils-miss-out-on-taking-languages-history-and-geography-at-gcse-each-year-new-sutton-trust-research-brief-analyses-the-impact-of-curriculum-changes-on-subject-choices/" TargetMode="External"/><Relationship Id="rId29" Type="http://schemas.openxmlformats.org/officeDocument/2006/relationships/hyperlink" Target="https://educationendowmentfoundation.org.uk/education-evidence/teaching-learning-toolkit/small-group-tuition" TargetMode="External"/><Relationship Id="rId11" Type="http://schemas.openxmlformats.org/officeDocument/2006/relationships/hyperlink" Target="https://educationendowmentfoundation.org.uk/education-evidence/teaching-learning-toolkit" TargetMode="External"/><Relationship Id="rId24" Type="http://schemas.openxmlformats.org/officeDocument/2006/relationships/hyperlink" Target="https://educationendowmentfoundation.org.uk/education-evidence/teaching-learning-toolkit/one-to-one-tuition" TargetMode="External"/><Relationship Id="rId32" Type="http://schemas.openxmlformats.org/officeDocument/2006/relationships/hyperlink" Target="https://educationendowmentfoundation.org.uk/education-evidence/teaching-learning-toolkit/aspiration-interventions" TargetMode="External"/><Relationship Id="rId37" Type="http://schemas.openxmlformats.org/officeDocument/2006/relationships/hyperlink" Target="https://www.gov.uk/government/publications/school-attendance/framework-for-securing-full-attendance-actions-for-schools-and-local-authorities" TargetMode="External"/><Relationship Id="rId40" Type="http://schemas.openxmlformats.org/officeDocument/2006/relationships/hyperlink" Target="https://educationendowmentfoundation.org.uk/education-evidence/teaching-learning-toolkit/parental-engagement" TargetMode="External"/><Relationship Id="rId45"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2tic4wvo1iusb.cloudfront.net/eef-guidance-reports/effective-professional-development/EEF-Effective-Professional-Development-Guidance-Report.pdf" TargetMode="External"/><Relationship Id="rId19"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31" Type="http://schemas.openxmlformats.org/officeDocument/2006/relationships/hyperlink" Target="https://educationendowmentfoundation.org.uk/education-evidence/teaching-learning-toolkit/aspiration-interventions" TargetMode="External"/><Relationship Id="rId44"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2tic4wvo1iusb.cloudfront.net/eef-guidance-reports/effective-professional-development/EEF-Effective-Professional-Development-Guidance-Report.pdf" TargetMode="External"/><Relationship Id="rId14" Type="http://schemas.openxmlformats.org/officeDocument/2006/relationships/hyperlink" Target="https://d2tic4wvo1iusb.cloudfront.net/eef-guidance-reports/effective-professional-development/EEF-Effective-Professional-Development-Guidance-Report.pdf" TargetMode="External"/><Relationship Id="rId22" Type="http://schemas.openxmlformats.org/officeDocument/2006/relationships/hyperlink" Target="https://educationendowmentfoundation.org.uk/education-evidence/teaching-learning-toolkit/homework" TargetMode="External"/><Relationship Id="rId27" Type="http://schemas.openxmlformats.org/officeDocument/2006/relationships/hyperlink" Target="https://educationendowmentfoundation.org.uk/education-evidence/teaching-learning-toolkit/one-to-one-tuition" TargetMode="External"/><Relationship Id="rId30" Type="http://schemas.openxmlformats.org/officeDocument/2006/relationships/hyperlink" Target="https://educationendowmentfoundation.org.uk/education-evidence/teaching-learning-toolkit/small-group-tuition" TargetMode="External"/><Relationship Id="rId35" Type="http://schemas.openxmlformats.org/officeDocument/2006/relationships/hyperlink" Target="https://www.gov.uk/government/publications/school-attendance/framework-for-securing-full-attendance-actions-for-schools-and-local-authorities" TargetMode="External"/><Relationship Id="rId43"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48" Type="http://schemas.openxmlformats.org/officeDocument/2006/relationships/image" Target="media/image3.png"/><Relationship Id="rId8" Type="http://schemas.openxmlformats.org/officeDocument/2006/relationships/hyperlink" Target="https://d2tic4wvo1iusb.cloudfront.net/eef-guidance-reports/effective-professional-development/EEF-Effective-Professional-Development-Guidance-Report.pdf" TargetMode="Externa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educationendowmentfoundation.org.uk/education-evidence/teaching-learning-toolkit" TargetMode="External"/><Relationship Id="rId17" Type="http://schemas.openxmlformats.org/officeDocument/2006/relationships/hyperlink" Target="https://educationendowmentfoundation.org.uk/education-evidence/teaching-learning-toolkit/teaching-assistant-interventions" TargetMode="External"/><Relationship Id="rId25" Type="http://schemas.openxmlformats.org/officeDocument/2006/relationships/hyperlink" Target="https://educationendowmentfoundation.org.uk/education-evidence/teaching-learning-toolkit/small-group-tuition" TargetMode="External"/><Relationship Id="rId33" Type="http://schemas.openxmlformats.org/officeDocument/2006/relationships/hyperlink" Target="https://www.gov.uk/government/publications/school-level-strategies-to-raise-aspirations-to-higher-education" TargetMode="External"/><Relationship Id="rId38" Type="http://schemas.openxmlformats.org/officeDocument/2006/relationships/hyperlink" Target="https://www.gov.uk/government/publications/school-attendance/framework-for-securing-full-attendance-actions-for-schools-and-local-authorities" TargetMode="External"/><Relationship Id="rId46" Type="http://schemas.openxmlformats.org/officeDocument/2006/relationships/image" Target="media/image1.png"/><Relationship Id="rId20" Type="http://schemas.openxmlformats.org/officeDocument/2006/relationships/hyperlink" Target="https://d2tic4wvo1iusb.cloudfront.net/production/documents/evaluation/methodological-research-and-innovations/learning_about_culture_overarching_evaluators_report.pdf?v=1733944946" TargetMode="External"/><Relationship Id="rId41" Type="http://schemas.openxmlformats.org/officeDocument/2006/relationships/hyperlink" Target="https://educationendowmentfoundation.org.uk/education-evidence/teaching-learning-toolkit/parental-engagemen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uttontrust.com/news-opinion/all-news-opinion/thousands-of-disadvantaged-pupils-miss-out-on-taking-languages-history-and-geography-at-gcse-each-year-new-sutton-trust-research-brief-analyses-the-impact-of-curriculum-changes-on-subject-choices/" TargetMode="External"/><Relationship Id="rId23" Type="http://schemas.openxmlformats.org/officeDocument/2006/relationships/hyperlink" Target="https://educationendowmentfoundation.org.uk/education-evidence/teaching-learning-toolkit/one-to-one-tuition" TargetMode="External"/><Relationship Id="rId28" Type="http://schemas.openxmlformats.org/officeDocument/2006/relationships/hyperlink" Target="https://educationendowmentfoundation.org.uk/education-evidence/teaching-learning-toolkit/one-to-one-tuition" TargetMode="External"/><Relationship Id="rId36" Type="http://schemas.openxmlformats.org/officeDocument/2006/relationships/hyperlink" Target="https://www.gov.uk/government/publications/school-attendance/framework-for-securing-full-attendance-actions-for-schools-and-local-authorities"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4353</TotalTime>
  <Pages>11</Pages>
  <Words>4334</Words>
  <Characters>20634</Characters>
  <Application>Microsoft Office Word</Application>
  <DocSecurity>0</DocSecurity>
  <Lines>458</Lines>
  <Paragraphs>211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Isle Education Trust</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Chris Chancellor</cp:lastModifiedBy>
  <cp:revision>7</cp:revision>
  <dcterms:created xsi:type="dcterms:W3CDTF">2025-10-02T11:17:00Z</dcterms:created>
  <dcterms:modified xsi:type="dcterms:W3CDTF">2025-12-01T09:36:00Z</dcterms:modified>
</cp:coreProperties>
</file>